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440606-2025-06846</w:t>
      </w:r>
    </w:p>
    <w:p>
      <w:pPr>
        <w:pStyle w:val="null3"/>
        <w:jc w:val="center"/>
        <w:outlineLvl w:val="3"/>
      </w:pPr>
      <w:r>
        <w:rPr>
          <w:sz w:val="24"/>
          <w:b/>
        </w:rPr>
        <w:t>采购项目编号：</w:t>
      </w:r>
      <w:r>
        <w:rPr>
          <w:sz w:val="24"/>
          <w:b/>
        </w:rPr>
        <w:t>BDGZ2025007</w:t>
      </w:r>
    </w:p>
    <w:p>
      <w:pPr>
        <w:pStyle w:val="null3"/>
        <w:jc w:val="center"/>
        <w:outlineLvl w:val="3"/>
      </w:pPr>
      <w:r>
        <w:rPr>
          <w:sz w:val="24"/>
          <w:b/>
        </w:rPr>
        <w:t>项目名称：</w:t>
      </w:r>
      <w:r>
        <w:rPr>
          <w:sz w:val="24"/>
          <w:b/>
        </w:rPr>
        <w:t>2025年顺德区国、省考断面水质保障自动监测服务项目</w:t>
      </w:r>
    </w:p>
    <w:p>
      <w:pPr>
        <w:pStyle w:val="null3"/>
        <w:jc w:val="center"/>
        <w:outlineLvl w:val="3"/>
      </w:pPr>
      <w:r>
        <w:rPr>
          <w:sz w:val="24"/>
          <w:b/>
        </w:rPr>
        <w:t>采购人：</w:t>
      </w:r>
      <w:r>
        <w:rPr>
          <w:sz w:val="24"/>
          <w:b/>
        </w:rPr>
        <w:t>佛山市生态环境局顺德分局</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广东必鼎工程项目管理有限公司</w:t>
      </w:r>
      <w:r>
        <w:rPr/>
        <w:t>受</w:t>
      </w:r>
      <w:r>
        <w:rPr/>
        <w:t>佛山市生态环境局顺德分局</w:t>
      </w:r>
      <w:r>
        <w:rPr/>
        <w:t>的委托，采用</w:t>
      </w:r>
      <w:r>
        <w:rPr/>
        <w:t>公开招标</w:t>
      </w:r>
      <w:r>
        <w:rPr/>
        <w:t>方式组织采购</w:t>
      </w:r>
      <w:r>
        <w:rPr/>
        <w:t>2025年顺德区国、省考断面水质保障自动监测服务项目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2025年顺德区国、省考断面水质保障自动监测服务项目</w:t>
      </w:r>
    </w:p>
    <w:p>
      <w:pPr>
        <w:pStyle w:val="null3"/>
        <w:ind w:firstLine="480"/>
      </w:pPr>
      <w:r>
        <w:rPr/>
        <w:t>采购计划编号：</w:t>
      </w:r>
      <w:r>
        <w:rPr/>
        <w:t>440606-2025-06846</w:t>
      </w:r>
    </w:p>
    <w:p>
      <w:pPr>
        <w:pStyle w:val="null3"/>
        <w:ind w:firstLine="480"/>
      </w:pPr>
      <w:r>
        <w:rPr/>
        <w:t>采购项目编号：</w:t>
      </w:r>
      <w:r>
        <w:rPr/>
        <w:t>BDGZ2025007</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采购包1(2025年顺德区国、省考断面水质保障自动监测服务项目):</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其他生态环境保护和治理服务</w:t>
            </w:r>
          </w:p>
        </w:tc>
        <w:tc>
          <w:tcPr>
            <w:tcW w:type="dxa" w:w="2136"/>
          </w:tcPr>
          <w:p>
            <w:pPr>
              <w:pStyle w:val="null3"/>
            </w:pPr>
            <w:r>
              <w:rPr/>
              <w:t>2025年顺德区国、省考断面水质保障自动监测服务项目，提供15个点位的水质数据包括常规五参数（水温、pH值、浊度、电导率、溶解氧）及污染物因子（高锰酸盐指数、氨氮、总磷、总氮）自动采集服务、监测信息传输服务、监测数据分析与应用分析服务等</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合同履行期限：自合同预付款支付后2个月内完成项目建设（含设备安装、调试、试运行1个月及验收工作），自设备验收审核通过之日起提供数据监测服务10个月。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1）具有独立承担民事责任的能力：在中华人民共和国境内注册的法人或其他组织或自然人，投标时提交有效的营业执照（或事业法人登记证或身份证等相关证明）副本扫描件。</w:t>
      </w:r>
    </w:p>
    <w:p>
      <w:pPr>
        <w:pStyle w:val="null3"/>
      </w:pPr>
      <w:r>
        <w:rPr/>
        <w:t>2）有依法缴纳税收和社会保障资金的良好记录：须提供下列任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4）履行合同所必需的设备和专业技术能力：须提供下列任一项证明材料：1.提供《政府采购供应商资格信用承诺函》；2.按投标（响应）文件格式填报设备及专业技术能力情况。</w:t>
      </w:r>
    </w:p>
    <w:p>
      <w:pPr>
        <w:pStyle w:val="null3"/>
      </w:pPr>
      <w:r>
        <w:rPr/>
        <w:t>5）参加采购活动前3年内，在经营活动中没有重大违法记录：提供《政府采购供应商资格信用承诺函》。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采购包1（2025年顺德区国、省考断面水质保障自动监测服务项目）：</w:t>
      </w:r>
      <w:r>
        <w:rPr/>
        <w:t>采购包整体专门面向小微企业采购，监狱企业、残疾人福利性单位视同小型、微型企业。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采购包1（2025年顺德区国、省考断面水质保障自动监测服务项目）：</w:t>
      </w:r>
    </w:p>
    <w:p>
      <w:pPr>
        <w:pStyle w:val="null3"/>
      </w:pPr>
      <w:r>
        <w:rPr/>
        <w:t>1)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广东省公共资源交易平台（佛山市）（https://ygp.gdzwfw.gov.cn/ggzy-portal/#/440600/jygg）及采购代理机构（https://www.gdbdzb.com/）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佛山市生态环境局顺德分局</w:t>
      </w:r>
    </w:p>
    <w:p>
      <w:pPr>
        <w:pStyle w:val="null3"/>
        <w:ind w:firstLine="480"/>
      </w:pPr>
      <w:r>
        <w:rPr/>
        <w:t xml:space="preserve"> 地址：</w:t>
      </w:r>
      <w:r>
        <w:rPr/>
        <w:t>广东省佛山市顺德区大良街道德民路3号区政府行政大楼7楼</w:t>
      </w:r>
    </w:p>
    <w:p>
      <w:pPr>
        <w:pStyle w:val="null3"/>
        <w:ind w:firstLine="480"/>
      </w:pPr>
      <w:r>
        <w:rPr/>
        <w:t xml:space="preserve"> 联系方式：</w:t>
      </w:r>
      <w:r>
        <w:rPr/>
        <w:t>0757-22833048</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顺德区国、省考断面水质保障自动监测服务，拟对容桂水道、顺德水道提供</w:t>
      </w:r>
      <w:r>
        <w:rPr>
          <w:sz w:val="21"/>
        </w:rPr>
        <w:t>15</w:t>
      </w:r>
      <w:r>
        <w:rPr>
          <w:sz w:val="21"/>
        </w:rPr>
        <w:t>个点位的水质数据包括常规五参数（水温、</w:t>
      </w:r>
      <w:r>
        <w:rPr>
          <w:sz w:val="21"/>
        </w:rPr>
        <w:t>pH</w:t>
      </w:r>
      <w:r>
        <w:rPr>
          <w:sz w:val="21"/>
        </w:rPr>
        <w:t>值、浊度、电导率、溶解氧）及污染物因子（高锰酸盐指数、氨氮、总磷）自动采集服务、监测信息传输服务、监测数据分析与应用分析服务等。强化容桂水道、顺德水道流域主河道监测能力建设，从而提高水环境质量预警、分析及管理的科学性。</w:t>
      </w:r>
    </w:p>
    <w:p>
      <w:pPr>
        <w:pStyle w:val="null3"/>
      </w:pPr>
      <w:r>
        <w:rPr/>
        <w:t>采购包1（2025年顺德区国、省考断面水质保障自动监测服务项目）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★自合同预付款支付后2个月内完成项目建设（含设备安装、调试、试运行1个月及验收工作），自阶段性（安装调试和试运行）验收审核通过之日起提供数据监测服务10个月。</w:t>
            </w:r>
          </w:p>
        </w:tc>
      </w:tr>
      <w:tr>
        <w:tc>
          <w:tcPr>
            <w:tcW w:type="dxa" w:w="4153"/>
          </w:tcPr>
          <w:p>
            <w:pPr>
              <w:pStyle w:val="null3"/>
            </w:pPr>
            <w:r>
              <w:rPr/>
              <w:t>标的提供的地点</w:t>
            </w:r>
          </w:p>
        </w:tc>
        <w:tc>
          <w:tcPr>
            <w:tcW w:type="dxa" w:w="4153"/>
          </w:tcPr>
          <w:p>
            <w:pPr>
              <w:pStyle w:val="null3"/>
            </w:pPr>
            <w:r>
              <w:rPr/>
              <w:t>★佛山市内（详见“监测站点清单”，具体点位如需根据采购人实际情况进行变更，以实际为准。）。</w:t>
            </w:r>
          </w:p>
        </w:tc>
      </w:tr>
      <w:tr>
        <w:tc>
          <w:tcPr>
            <w:tcW w:type="dxa" w:w="4153"/>
          </w:tcPr>
          <w:p>
            <w:pPr>
              <w:pStyle w:val="null3"/>
            </w:pPr>
            <w:r>
              <w:rPr/>
              <w:t>付款方式</w:t>
            </w:r>
          </w:p>
        </w:tc>
        <w:tc>
          <w:tcPr>
            <w:tcW w:type="dxa" w:w="4153"/>
          </w:tcPr>
          <w:p>
            <w:pPr>
              <w:pStyle w:val="null3"/>
            </w:pPr>
            <w:r>
              <w:rPr/>
              <w:t>1期：支付比例40%,★（一）合同签订生效，采购人在财政资金下达且收到中标人提供的正式发票后10个工作日内向中标人支付合同金额的40%作为预付款。</w:t>
            </w:r>
          </w:p>
          <w:p>
            <w:pPr>
              <w:pStyle w:val="null3"/>
            </w:pPr>
            <w:r>
              <w:rPr/>
              <w:t>2期：支付比例20%,★（二）第二个服务周期后，采购人在财政资金下达后且收到中标人提供的正式发票后10个工作日内向中标人支付合同总额的20%，本期最终支付金额=合同总额的20%-扣罚（如有）金额合计。</w:t>
            </w:r>
          </w:p>
          <w:p>
            <w:pPr>
              <w:pStyle w:val="null3"/>
            </w:pPr>
            <w:r>
              <w:rPr/>
              <w:t>3期：支付比例40%,★（三）服务期结束，项目通过整体验收后，采购人在收到中标人提供的正式发票后10个工作日内向中标人支付合同总额的40%，本期最终支付金额=合同总额的40%-扣罚（如有）金额。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1期：★阶段性（安装调试和试运行）验收： （一）验收时间：在设备安装、调试、试运行1个月后，由中标人提起验收申请，收到中标人验收申请后 7日内组织阶段性验收。（二）项目阶段性成果必须通过采购人的验收。 （三）中标人须为验收提供必需的一切条件及相关费用。 （四）项目验收依次序对照执行标准： 1、符合中华人民共和国国家和服务地点相关安全质量标准、行业技术规范标准、环保节能标准； 2、依据本项目的合同以及采购人签署的会议纪要、备忘录等文件。 3、符合官方颁布标准； 4、上述各类标准与法规必须是有关官方机构最新发布的现行标准版本，上述各项次序如后者标准要求高于前者，则以最高标准为验收标准。 （五）其他要求：中标人在完成本项目涉及相关检测设备的安装调试、试运行后提交阶段验收申请，采购人收到申请后，组织阶段性验收。</w:t>
            </w:r>
          </w:p>
          <w:p>
            <w:pPr>
              <w:pStyle w:val="null3"/>
            </w:pPr>
            <w:r>
              <w:rPr/>
              <w:t>2期：★项目整体验收： （一）在中标人完成本项目全部监测服务后，由中标人提起验收申请，采购人收到中标人验收申请后7日内组织整体履约验收。（二）项目成果必须通过采购人的验收。 （三）中标人须为验收提供必需的一切条件及相关费用。 （四）项目验收依次序对照执行标准： 1、符合中华人民共和国国家和服务地点相关安全质量标准、行业技术规范标准、环保节能标准； 2、依据本项目的合同以及采购人签署的会议纪要、备忘录等文件。 3、符合官方颁布标准； 4、上述各类标准与法规必须是有关官方机构最新发布的现行标准版本，上述各项次序如后者标准要求高于前者，则以最高标准为验收标准。 （五）其他要求：中标人完成项目全部工作内容，并提交相关成果报告、过程文档以及项目完成工作报告等资料，经采购人审核后，组织项目验收。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付款方式补充：（一）合同款项的支付方式：转账结算（银行转账）。（二）付款方：采购人；收款方：中标人。（三）开具发票：中标人收款时必须持有效发票。收款方、出具发票方、合同乙方均必须与中标人名称一致。（四）因采购人使用的是财政资金，采购人在前款规定的付款时间为向政府采购支付部门提出办理财政支付申请手续的时间（不含政府财政支付部门审核的时间），在规定时间内提出支付申请手续后即视为采购人已经按期支付。（五）付款期间如因特殊情况需调整，由双方协商处理。 其他：（一）合同响应要求：响应招标文件的合同文本或合同条款。 （二）投标人及其投标文件中无法律、法规和招标文件规定的其他无效情形。 （三）其他要求详见招标文件第四部分《合同书范本》的规定。</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的承包方式为总价包干，中标人的报价应包括但不限于为完成采购内容所需的一切工作的费用，包括但不限于数据应用服务产生的费用，建设其他费用和基本预备费、建设费、设备校准费、人员工资福利、中标人的值守人员的相关费用以及采水、供水、供电、通讯、采暖、试剂耗材、备品备件、仪器设备维修、设施设备的年检保养和水站安全保障所发生的费用及合同实施过程中的应可预见和不可预见费用等完成合同规定责任和义务、达到合同目的的一切费用，并应包含应由中标人缴纳的本次招标服务费等在工作中所发生的其他各种因素的相关服务费用、利润、税金及其他税费、人员保险费、全额含税发票、合同实施过程中的应预见和不可预见费用等。 （二）投标人须考虑本项目在实施期间的一切可能产生的费用。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合同单价调价申请将不被接受。 （三）本项目最高限价为本采购包的预算金额，超过最高限价的报价为无效报价。</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工期进度要求</w:t>
            </w:r>
          </w:p>
        </w:tc>
        <w:tc>
          <w:tcPr>
            <w:tcW w:type="dxa" w:w="2076"/>
          </w:tcPr>
          <w:p>
            <w:pPr>
              <w:pStyle w:val="null3"/>
              <w:jc w:val="left"/>
            </w:pPr>
            <w:r>
              <w:rPr/>
              <w:t>第一阶段（施工建设期）：现场勘察、安装设计、设备安装、调试、试运行，周期为2个月： 第1个月工作： 1.现场勘察、安装设计、设备安装、调试。 2.中标人设备和系统的安装、调试工作完成并接入顺德区生态环境综合管理平台。 第2个月工作： 1.设备的试运行，初步获取相关数据。 2.项目的阶段性验收。 第二阶段（服务期）：正式提供数据监测服务，自项目通过阶段性验收合格之日起10个月。 备注：项目施工建设时间不计入项目服务期，具体的设备安装问题可与采购人协调。</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人员管理要求</w:t>
            </w:r>
          </w:p>
        </w:tc>
        <w:tc>
          <w:tcPr>
            <w:tcW w:type="dxa" w:w="2076"/>
          </w:tcPr>
          <w:p>
            <w:pPr>
              <w:pStyle w:val="null3"/>
              <w:jc w:val="left"/>
            </w:pPr>
            <w:r>
              <w:rPr/>
              <w:t>（一）在本项目实施期间，项目实施组成员必须严格按照招标文件承诺的项目人员组成，若项目实施组成员出现变更，必须向采购人书面报备。 （二）采购人有权以书面形式要求中标人更换不能按规定履行合同的人员。 （三）即使是采购人要求更换或中标人报备更换的人员，其代替人员的资历和经验均不低于被更换人员。由此而产生的费用由中标人承担。 （四）在项目实施过程中引起的各种工伤、安全事件和事故，由中标人负责。在服务期间内，中标人须承担项目工作人员的安全、意外责任、工伤责任和所有服务风险。 在服务期间内，与工作人员发生的一切劳务纠纷，由中标人负责。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一）中标人必须严格遵守采购人相关保密法规和采取措施对本项目材料实体和数据技术文档等资料的保密，并保证安全。不得截留和向第三方泄露所涉及的资料范围、内容及最终形成的各类数据，确保资料信息的安全保密，否则，由于中标人过错导致的上述资料泄密的，中标人必须承担一切责任。项目完成后，中标人、采购人均有责任对本项目的技术保密承担责任。 （二）未经采购人事先书面同意，中标人不得将由采购人为本合同提供的条文、规格、计划或资料提供给与本合同无关的任何第三方，不得将其用于履行本合同之外的其它用途，否则，由于中标人过错导致的上述资料泄密的，中标人必须承担一切责任。即使向与履行本合同有关的人员提供，也应注意保密并限于履行合同所必需的范围。</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（一）服务期结束后，所有监测数据及分析数据归采购人所有，所有监测设备等归中标人所有。 （二）中标人必须制定详细可行的项目管理、实施方案，比如项目计划、例会管理机制、运营维护机制等，来确保项目可控以及产物符合用户要求。 （三）中标人在项目中提交的所有技术文件必须用简体中文书写。 （四）服务期内接到采购人通知后，中标人须一小时内能到达现场。 （五）合同待预付款支付后开始正式实施，合同履行期间，如采购人遇有上级政策调整、财政压减等问题，双方可再协商本项目的服务内容或服务期等，不视为违约。</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2025年顺德区国、省考断面水质保障自动监测服务项目，提供15个点位的水质数据包括常规五参数（水温、pH值、浊度、电导率、溶解氧）及污染物因子（高锰酸盐指数、氨氮、总磷、总氮）自动采集服务、监测信息传输服务、监测数据分析与应用分析服务等</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3,000,000.00</w:t>
            </w:r>
          </w:p>
        </w:tc>
        <w:tc>
          <w:tcPr>
            <w:tcW w:type="dxa" w:w="933"/>
          </w:tcPr>
          <w:p>
            <w:pPr>
              <w:pStyle w:val="null3"/>
              <w:jc w:val="right"/>
            </w:pPr>
            <w:r>
              <w:rPr/>
              <w:t>3,000,000.00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顺德区国、省考断面水质保障自动监测服务项目，提供15个点位的水质数据包括常规五参数（水温、pH值、浊度、电导率、溶解氧）及污染物因子（高锰酸盐指数、氨氮、总磷、总氮）自动采集服务、监测信息传输服务、监测数据分析与应用分析服务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本采购包具体采购内容详见下表。</w:t>
            </w:r>
          </w:p>
          <w:tbl>
            <w:tblPr>
              <w:tblInd w:type="dxa" w:w="120"/>
              <w:tblBorders>
                <w:top w:val="none" w:color="000000" w:sz="4"/>
                <w:left w:val="none" w:color="000000" w:sz="4"/>
                <w:bottom w:val="none" w:color="000000" w:sz="4"/>
                <w:right w:val="none" w:color="000000" w:sz="4"/>
                <w:insideH w:val="none"/>
                <w:insideV w:val="none"/>
              </w:tblBorders>
            </w:tblPr>
            <w:tblGrid>
              <w:gridCol w:w="727"/>
              <w:gridCol w:w="3170"/>
              <w:gridCol w:w="851"/>
              <w:gridCol w:w="851"/>
            </w:tblGrid>
            <w:tr>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服务或费用名称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（站）</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时间</w:t>
                  </w:r>
                </w:p>
                <w:p>
                  <w:pPr>
                    <w:pStyle w:val="null3"/>
                    <w:jc w:val="center"/>
                  </w:pPr>
                  <w:r>
                    <w:rPr>
                      <w:sz w:val="21"/>
                      <w:b/>
                    </w:rPr>
                    <w:t>（月）</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数据采集传输及保障服务费用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常规小型水质自动监测站点数据采集传输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五参数（水温、</w:t>
                  </w:r>
                  <w:r>
                    <w:rPr>
                      <w:sz w:val="21"/>
                    </w:rPr>
                    <w:t>pH、溶解氧、电导率、浊度）数据采集传输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氨氮数据采集传输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总磷数据采集传输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高锰酸盐指数数据采集传输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总氮数据采集传输</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数据保障运维服务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日常远程检查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②</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定期现场巡检</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③</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仪器设备维护保养</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④</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网络系统维护测试</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⑤</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现场数据核对</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⑥</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突发或故障事件应急巡查服务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运维监管质控仪</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配套便携设备的使用服务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数据分析应用服务费用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3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数据分析应用服务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监测站点清单</w:t>
            </w:r>
          </w:p>
          <w:p>
            <w:pPr>
              <w:pStyle w:val="null3"/>
              <w:jc w:val="both"/>
            </w:pPr>
            <w:r>
              <w:rPr>
                <w:sz w:val="21"/>
              </w:rPr>
              <w:t>监测站包括</w:t>
            </w:r>
            <w:r>
              <w:rPr>
                <w:sz w:val="21"/>
              </w:rPr>
              <w:t>15个监测点位，具体如下：</w:t>
            </w:r>
          </w:p>
          <w:tbl>
            <w:tblPr>
              <w:tblInd w:type="dxa" w:w="240"/>
              <w:tblBorders>
                <w:top w:val="none" w:color="000000" w:sz="4"/>
                <w:left w:val="none" w:color="000000" w:sz="4"/>
                <w:bottom w:val="none" w:color="000000" w:sz="4"/>
                <w:right w:val="none" w:color="000000" w:sz="4"/>
                <w:insideH w:val="none"/>
                <w:insideV w:val="none"/>
              </w:tblBorders>
            </w:tblPr>
            <w:tblGrid>
              <w:gridCol w:w="622"/>
              <w:gridCol w:w="949"/>
              <w:gridCol w:w="1275"/>
              <w:gridCol w:w="1431"/>
              <w:gridCol w:w="1322"/>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类型</w:t>
                  </w:r>
                </w:p>
              </w:tc>
              <w:tc>
                <w:tcPr>
                  <w:tcW w:type="dxa" w:w="1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所在流域</w:t>
                  </w:r>
                </w:p>
              </w:tc>
              <w:tc>
                <w:tcPr>
                  <w:tcW w:type="dxa" w:w="1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监测点名称</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潭州水道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华阳断面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潭州水道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林头断面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大闸断面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黄麻涌断面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甘竹溪</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龙田断面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百丈断面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逢简断面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新涌断面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冲鹤断面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沙头断面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七滘断面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马宁断面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南沙断面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穗香断面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1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顺风岛断面</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备注：具体点位根据采购人实际情况进行变更，以实际为准。</w:t>
            </w:r>
          </w:p>
        </w:tc>
      </w:tr>
      <w:tr>
        <w:tc>
          <w:tcPr>
            <w:tcW w:type="dxa" w:w="2076"/>
          </w:tcPr>
          <w:p/>
        </w:tc>
        <w:tc>
          <w:tcPr>
            <w:tcW w:type="dxa" w:w="415"/>
          </w:tcPr>
          <w:p>
            <w:pPr>
              <w:pStyle w:val="null3"/>
            </w:pPr>
            <w:r>
              <w:rPr/>
              <w:t>3</w:t>
            </w:r>
          </w:p>
        </w:tc>
        <w:tc>
          <w:tcPr>
            <w:tcW w:type="dxa" w:w="5814"/>
          </w:tcPr>
          <w:p>
            <w:pPr>
              <w:pStyle w:val="null3"/>
              <w:jc w:val="both"/>
            </w:pPr>
            <w:r>
              <w:rPr>
                <w:sz w:val="21"/>
                <w:b/>
              </w:rPr>
              <w:t>常规小型水质自动监测设备技术要求</w:t>
            </w:r>
          </w:p>
          <w:p>
            <w:pPr>
              <w:pStyle w:val="null3"/>
              <w:jc w:val="both"/>
            </w:pPr>
            <w:r>
              <w:rPr>
                <w:sz w:val="21"/>
              </w:rPr>
              <w:t>1.总体功能要求</w:t>
            </w:r>
          </w:p>
          <w:p>
            <w:pPr>
              <w:pStyle w:val="null3"/>
              <w:jc w:val="both"/>
            </w:pPr>
            <w:r>
              <w:rPr>
                <w:sz w:val="21"/>
              </w:rPr>
              <w:t>（</w:t>
            </w:r>
            <w:r>
              <w:rPr>
                <w:sz w:val="21"/>
              </w:rPr>
              <w:t>1</w:t>
            </w:r>
            <w:r>
              <w:rPr>
                <w:sz w:val="21"/>
              </w:rPr>
              <w:t>）</w:t>
            </w:r>
            <w:r>
              <w:rPr>
                <w:sz w:val="21"/>
              </w:rPr>
              <w:t>采用户外一体化小型水质自动监测站设计，系统由模块化的单元组成；</w:t>
            </w:r>
          </w:p>
          <w:p>
            <w:pPr>
              <w:pStyle w:val="null3"/>
              <w:jc w:val="both"/>
            </w:pPr>
            <w:r>
              <w:rPr>
                <w:sz w:val="21"/>
              </w:rPr>
              <w:t>（</w:t>
            </w:r>
            <w:r>
              <w:rPr>
                <w:sz w:val="21"/>
              </w:rPr>
              <w:t>2</w:t>
            </w:r>
            <w:r>
              <w:rPr>
                <w:sz w:val="21"/>
              </w:rPr>
              <w:t>）</w:t>
            </w:r>
            <w:r>
              <w:rPr>
                <w:sz w:val="21"/>
              </w:rPr>
              <w:t>能连续在线反映被测河流断面的水质变化情况，准确及时捕捉污染物事故排放并发出预警信号，测点布置符合规范要求，采样方式恰当；</w:t>
            </w:r>
          </w:p>
          <w:p>
            <w:pPr>
              <w:pStyle w:val="null3"/>
              <w:jc w:val="both"/>
            </w:pPr>
            <w:r>
              <w:rPr>
                <w:sz w:val="21"/>
              </w:rPr>
              <w:t>（</w:t>
            </w:r>
            <w:r>
              <w:rPr>
                <w:sz w:val="21"/>
              </w:rPr>
              <w:t>3</w:t>
            </w:r>
            <w:r>
              <w:rPr>
                <w:sz w:val="21"/>
              </w:rPr>
              <w:t>）</w:t>
            </w:r>
            <w:r>
              <w:rPr>
                <w:sz w:val="21"/>
              </w:rPr>
              <w:t>系统要求具有大型的水站的监测能力且使用占地面积不超过</w:t>
            </w:r>
            <w:r>
              <w:rPr>
                <w:sz w:val="21"/>
              </w:rPr>
              <w:t>2.0平方米；</w:t>
            </w:r>
          </w:p>
          <w:p>
            <w:pPr>
              <w:pStyle w:val="null3"/>
              <w:jc w:val="both"/>
            </w:pPr>
            <w:r>
              <w:rPr>
                <w:sz w:val="21"/>
              </w:rPr>
              <w:t>（</w:t>
            </w:r>
            <w:r>
              <w:rPr>
                <w:sz w:val="21"/>
              </w:rPr>
              <w:t>4</w:t>
            </w:r>
            <w:r>
              <w:rPr>
                <w:sz w:val="21"/>
              </w:rPr>
              <w:t>）</w:t>
            </w:r>
            <w:r>
              <w:rPr>
                <w:sz w:val="21"/>
              </w:rPr>
              <w:t>仪器设备分类安装，布置合理美观，管线布置通畅合理，管材选择确保系统能长期有效运行；</w:t>
            </w:r>
          </w:p>
          <w:p>
            <w:pPr>
              <w:pStyle w:val="null3"/>
              <w:jc w:val="both"/>
            </w:pPr>
            <w:r>
              <w:rPr>
                <w:sz w:val="21"/>
              </w:rPr>
              <w:t>(5)▲</w:t>
            </w:r>
            <w:r>
              <w:rPr>
                <w:sz w:val="21"/>
              </w:rPr>
              <w:t>所投产品</w:t>
            </w:r>
            <w:r>
              <w:rPr>
                <w:sz w:val="21"/>
              </w:rPr>
              <w:t>应</w:t>
            </w:r>
            <w:r>
              <w:rPr>
                <w:sz w:val="21"/>
              </w:rPr>
              <w:t>为原厂制造、符合国家及采购人提出的有关质量标准的仪器和设备</w:t>
            </w:r>
            <w:r>
              <w:rPr>
                <w:sz w:val="21"/>
              </w:rPr>
              <w:t>；提供的设备、软件应具有合法的知识产权。监测站采用坚固的防腐外壳，耐腐蚀、抗老化，防护等级要求达到</w:t>
            </w:r>
            <w:r>
              <w:rPr>
                <w:sz w:val="21"/>
              </w:rPr>
              <w:t>IP55或以上，可整体移动；监测站点位基本固定，但能在需要时可整体搬动和搬迁的箱体式监测方式，如有需要，中标人需按照采购人布点要求进行位置调整；</w:t>
            </w:r>
            <w:r>
              <w:rPr>
                <w:sz w:val="21"/>
                <w:b/>
              </w:rPr>
              <w:t>（投标时须提供承诺函</w:t>
            </w:r>
            <w:r>
              <w:rPr>
                <w:sz w:val="21"/>
                <w:b/>
              </w:rPr>
              <w:t>作为证明材料</w:t>
            </w:r>
            <w:r>
              <w:rPr>
                <w:sz w:val="21"/>
                <w:b/>
              </w:rPr>
              <w:t>，格式自拟）</w:t>
            </w:r>
          </w:p>
          <w:p>
            <w:pPr>
              <w:pStyle w:val="null3"/>
              <w:jc w:val="both"/>
            </w:pPr>
            <w:r>
              <w:rPr>
                <w:sz w:val="21"/>
              </w:rPr>
              <w:t>（</w:t>
            </w:r>
            <w:r>
              <w:rPr>
                <w:sz w:val="21"/>
              </w:rPr>
              <w:t>6</w:t>
            </w:r>
            <w:r>
              <w:rPr>
                <w:sz w:val="21"/>
              </w:rPr>
              <w:t>）</w:t>
            </w:r>
            <w:r>
              <w:rPr>
                <w:sz w:val="21"/>
              </w:rPr>
              <w:t>监测站采集自动分析仪器的监测数据，并分类保存；采集自动分析仪器和集成系统各单元的工作状态量，并可以运行日志的形式记录保存；实时采集视频信息并传输至中心平台；断电时能自动保存历史数据和参数设置；</w:t>
            </w:r>
          </w:p>
          <w:p>
            <w:pPr>
              <w:pStyle w:val="null3"/>
              <w:jc w:val="both"/>
            </w:pPr>
            <w:r>
              <w:rPr>
                <w:sz w:val="21"/>
              </w:rPr>
              <w:t>（</w:t>
            </w:r>
            <w:r>
              <w:rPr>
                <w:sz w:val="21"/>
              </w:rPr>
              <w:t>7</w:t>
            </w:r>
            <w:r>
              <w:rPr>
                <w:sz w:val="21"/>
              </w:rPr>
              <w:t>）</w:t>
            </w:r>
            <w:r>
              <w:rPr>
                <w:sz w:val="21"/>
              </w:rPr>
              <w:t>监测站能准确的上传下达指令，确保仪器、系统运行的监测数据和状态信息等稳定传输；具有仪器关键参数上传、远程设置功能，能接受远程控制指令；具有分析仪器及系统过程日志记录和环境参数记录功能，并能够上传至中心平台；</w:t>
            </w:r>
          </w:p>
          <w:p>
            <w:pPr>
              <w:pStyle w:val="null3"/>
              <w:jc w:val="both"/>
            </w:pPr>
            <w:r>
              <w:rPr>
                <w:sz w:val="21"/>
              </w:rPr>
              <w:t>(8)▲监测站采用无线通</w:t>
            </w:r>
            <w:r>
              <w:rPr>
                <w:sz w:val="21"/>
              </w:rPr>
              <w:t>信</w:t>
            </w:r>
            <w:r>
              <w:rPr>
                <w:sz w:val="21"/>
              </w:rPr>
              <w:t>，支持</w:t>
            </w:r>
            <w:r>
              <w:rPr>
                <w:sz w:val="21"/>
              </w:rPr>
              <w:t>4G/5G网络；采用虚拟专用网络（VPN）数据传输方式；具备对通信链路的自动诊断功能，具备超时补发功能；支持国家地表水自动监测系统通信协议，具有同时连接多个平台的能力，实现数据、告警信息的上传及反控操作；</w:t>
            </w:r>
            <w:r>
              <w:rPr>
                <w:sz w:val="21"/>
                <w:b/>
              </w:rPr>
              <w:t>（投标时须提供产品说明书或彩页或第三方检测机构出具检测报告作为证明材料）</w:t>
            </w:r>
          </w:p>
          <w:p>
            <w:pPr>
              <w:pStyle w:val="null3"/>
              <w:jc w:val="both"/>
            </w:pPr>
            <w:r>
              <w:rPr>
                <w:sz w:val="21"/>
              </w:rPr>
              <w:t>(9)▲监测站具有留样功能，能保留最近一个以上水样；监测站具有废药液收集装置，能满足两周以上废液量的收集，废药液应合法处理处置；</w:t>
            </w:r>
            <w:r>
              <w:rPr>
                <w:sz w:val="21"/>
                <w:b/>
              </w:rPr>
              <w:t>（投标时须提供产品说明书或彩页或第三方检测机构出具检测报告作为证明材料）</w:t>
            </w:r>
          </w:p>
          <w:p>
            <w:pPr>
              <w:pStyle w:val="null3"/>
              <w:jc w:val="both"/>
            </w:pPr>
            <w:r>
              <w:rPr>
                <w:sz w:val="21"/>
              </w:rPr>
              <w:t>（</w:t>
            </w:r>
            <w:r>
              <w:rPr>
                <w:sz w:val="21"/>
              </w:rPr>
              <w:t>10</w:t>
            </w:r>
            <w:r>
              <w:rPr>
                <w:sz w:val="21"/>
              </w:rPr>
              <w:t>）</w:t>
            </w:r>
            <w:r>
              <w:rPr>
                <w:sz w:val="21"/>
              </w:rPr>
              <w:t>监测站具有视频监控功能，可实时远程监控功能，可实现全方位、多视角、全天候式监控；当出现非法闯入时，报警系统能唤醒摄像机进行视频录制并获取监控区域内清晰的监控图像；视频监控前端存储，至少满足</w:t>
            </w:r>
            <w:r>
              <w:rPr>
                <w:sz w:val="21"/>
              </w:rPr>
              <w:t>1个月的存储能力；视频监控设备要求：最低分辨率为1280×960，可输出实时图像；高效红外灯，照射距离不少于20米；具有手机远程监控功能；具有移动侦测、动态分析、越界侦测和区域入侵侦测报警等功能。</w:t>
            </w:r>
          </w:p>
          <w:p>
            <w:pPr>
              <w:pStyle w:val="null3"/>
              <w:jc w:val="both"/>
            </w:pPr>
            <w:r>
              <w:rPr>
                <w:sz w:val="21"/>
              </w:rPr>
              <w:t>(11)▲远程控制</w:t>
            </w:r>
            <w:r>
              <w:rPr>
                <w:sz w:val="21"/>
                <w:b/>
              </w:rPr>
              <w:t>（投标时须提供产品说明书或彩页或第三方检测机构出具检测报告作为证明材料）</w:t>
            </w:r>
          </w:p>
          <w:p>
            <w:pPr>
              <w:pStyle w:val="null3"/>
              <w:jc w:val="both"/>
            </w:pPr>
            <w:r>
              <w:rPr>
                <w:sz w:val="21"/>
              </w:rPr>
              <w:t>①</w:t>
            </w:r>
            <w:r>
              <w:rPr/>
              <w:t xml:space="preserve">   </w:t>
            </w:r>
            <w:r>
              <w:rPr>
                <w:sz w:val="21"/>
              </w:rPr>
              <w:t>通过远程控制，可对监测仪器进行校时、复位、水样</w:t>
            </w:r>
            <w:r>
              <w:rPr>
                <w:sz w:val="21"/>
              </w:rPr>
              <w:t>/</w:t>
            </w:r>
            <w:r>
              <w:rPr>
                <w:sz w:val="21"/>
              </w:rPr>
              <w:t>标样测试、校准、清洗、</w:t>
            </w:r>
            <w:r>
              <w:rPr>
                <w:sz w:val="21"/>
              </w:rPr>
              <w:t>24</w:t>
            </w:r>
            <w:r>
              <w:rPr>
                <w:sz w:val="21"/>
              </w:rPr>
              <w:t>小时</w:t>
            </w:r>
            <w:r>
              <w:rPr>
                <w:sz w:val="21"/>
              </w:rPr>
              <w:t>低浓度</w:t>
            </w:r>
            <w:r>
              <w:rPr>
                <w:sz w:val="21"/>
              </w:rPr>
              <w:t>漂移和</w:t>
            </w:r>
            <w:r>
              <w:rPr>
                <w:sz w:val="21"/>
              </w:rPr>
              <w:t>高浓度</w:t>
            </w:r>
            <w:r>
              <w:rPr>
                <w:sz w:val="21"/>
              </w:rPr>
              <w:t>漂移核查、标样核查、样品复测和留样等维护工作；</w:t>
            </w:r>
          </w:p>
          <w:p>
            <w:pPr>
              <w:pStyle w:val="null3"/>
              <w:jc w:val="both"/>
            </w:pPr>
            <w:r>
              <w:rPr>
                <w:sz w:val="21"/>
              </w:rPr>
              <w:t>②　远程对水站的整体工作情况进行监控，获取仪器设备关键参数，可根据其运行状态进行相应远程调试；</w:t>
            </w:r>
          </w:p>
          <w:p>
            <w:pPr>
              <w:pStyle w:val="null3"/>
              <w:jc w:val="both"/>
            </w:pPr>
            <w:r>
              <w:rPr>
                <w:sz w:val="21"/>
              </w:rPr>
              <w:t>③　当监测数据出现异常时，中标人的运维人员远程发送必要的质控测试命令，根据测试结果综合判断数据有效性。一旦确定水质发生重大变化或仪器设备故障，应及时赴现场处理。</w:t>
            </w:r>
          </w:p>
          <w:p>
            <w:pPr>
              <w:pStyle w:val="null3"/>
              <w:jc w:val="both"/>
            </w:pPr>
            <w:r>
              <w:rPr>
                <w:sz w:val="21"/>
              </w:rPr>
              <w:t>2.</w:t>
            </w:r>
            <w:r>
              <w:rPr>
                <w:sz w:val="21"/>
              </w:rPr>
              <w:t>小型水质自动监测设备技术要求</w:t>
            </w:r>
          </w:p>
          <w:p>
            <w:pPr>
              <w:pStyle w:val="null3"/>
              <w:jc w:val="both"/>
            </w:pPr>
            <w:r>
              <w:rPr>
                <w:sz w:val="21"/>
              </w:rPr>
              <w:t>（</w:t>
            </w:r>
            <w:r>
              <w:rPr>
                <w:sz w:val="21"/>
              </w:rPr>
              <w:t>1</w:t>
            </w:r>
            <w:r>
              <w:rPr>
                <w:sz w:val="21"/>
              </w:rPr>
              <w:t>）</w:t>
            </w:r>
            <w:r>
              <w:rPr>
                <w:sz w:val="21"/>
              </w:rPr>
              <w:t>水质自动分析仪器</w:t>
            </w:r>
            <w:r>
              <w:rPr>
                <w:sz w:val="21"/>
              </w:rPr>
              <w:t>的</w:t>
            </w:r>
            <w:r>
              <w:rPr>
                <w:sz w:val="21"/>
              </w:rPr>
              <w:t>基本功能</w:t>
            </w:r>
          </w:p>
          <w:p>
            <w:pPr>
              <w:pStyle w:val="null3"/>
              <w:jc w:val="both"/>
            </w:pPr>
            <w:r>
              <w:rPr>
                <w:sz w:val="21"/>
              </w:rPr>
              <w:t>1)</w:t>
            </w:r>
            <w:r>
              <w:rPr>
                <w:sz w:val="21"/>
              </w:rPr>
              <w:t>★</w:t>
            </w:r>
            <w:r>
              <w:rPr>
                <w:sz w:val="21"/>
                <w:b/>
              </w:rPr>
              <w:t>能够实现对高锰酸盐指数、氨氮、总磷</w:t>
            </w:r>
            <w:r>
              <w:rPr>
                <w:sz w:val="21"/>
                <w:b/>
              </w:rPr>
              <w:t>、</w:t>
            </w:r>
            <w:r>
              <w:rPr>
                <w:sz w:val="21"/>
                <w:b/>
              </w:rPr>
              <w:t>总氮</w:t>
            </w:r>
            <w:r>
              <w:rPr>
                <w:sz w:val="21"/>
                <w:b/>
              </w:rPr>
              <w:t>水质自动分析仪器进行远程手动及自动标样核查、零点校准、跨度核查、加标回收等功能</w:t>
            </w:r>
            <w:r>
              <w:rPr>
                <w:sz w:val="21"/>
              </w:rPr>
              <w:t>（</w:t>
            </w:r>
            <w:r>
              <w:rPr>
                <w:sz w:val="21"/>
                <w:b/>
              </w:rPr>
              <w:t>投标时须提供承诺函</w:t>
            </w:r>
            <w:r>
              <w:rPr>
                <w:sz w:val="21"/>
                <w:b/>
              </w:rPr>
              <w:t>作为证明材料</w:t>
            </w:r>
            <w:r>
              <w:rPr>
                <w:sz w:val="21"/>
                <w:b/>
              </w:rPr>
              <w:t>，格式自拟</w:t>
            </w:r>
            <w:r>
              <w:rPr>
                <w:sz w:val="21"/>
              </w:rPr>
              <w:t>）；</w:t>
            </w:r>
          </w:p>
          <w:p>
            <w:pPr>
              <w:pStyle w:val="null3"/>
              <w:jc w:val="both"/>
            </w:pPr>
            <w:r>
              <w:rPr>
                <w:sz w:val="21"/>
              </w:rPr>
              <w:t>2</w:t>
            </w:r>
            <w:r>
              <w:rPr>
                <w:sz w:val="21"/>
              </w:rPr>
              <w:t>）</w:t>
            </w:r>
            <w:r>
              <w:rPr>
                <w:sz w:val="21"/>
              </w:rPr>
              <w:t>具有仪器及系统运行周期（连续或间歇）设置功能，具备常规、应急、质控等多种运行模式；</w:t>
            </w:r>
          </w:p>
          <w:p>
            <w:pPr>
              <w:pStyle w:val="null3"/>
              <w:jc w:val="both"/>
            </w:pPr>
            <w:r>
              <w:rPr>
                <w:sz w:val="21"/>
              </w:rPr>
              <w:t>3</w:t>
            </w:r>
            <w:r>
              <w:rPr>
                <w:sz w:val="21"/>
              </w:rPr>
              <w:t>）</w:t>
            </w:r>
            <w:r>
              <w:rPr>
                <w:sz w:val="21"/>
              </w:rPr>
              <w:t>具备断电后至少能保证仪器完成一个测量周期和数据上传功能，且待机不少于</w:t>
            </w:r>
            <w:r>
              <w:rPr>
                <w:sz w:val="21"/>
              </w:rPr>
              <w:t>1</w:t>
            </w:r>
            <w:r>
              <w:rPr>
                <w:sz w:val="21"/>
              </w:rPr>
              <w:t>小时；</w:t>
            </w:r>
          </w:p>
          <w:p>
            <w:pPr>
              <w:pStyle w:val="null3"/>
              <w:jc w:val="both"/>
            </w:pPr>
            <w:r>
              <w:rPr>
                <w:sz w:val="21"/>
              </w:rPr>
              <w:t>4</w:t>
            </w:r>
            <w:r>
              <w:rPr>
                <w:sz w:val="21"/>
              </w:rPr>
              <w:t>）</w:t>
            </w:r>
            <w:r>
              <w:rPr>
                <w:sz w:val="21"/>
              </w:rPr>
              <w:t>具备断电再度通电后自动排空水样和试剂、自动清洗管路、自动复位到待机状态的功能；</w:t>
            </w:r>
          </w:p>
          <w:p>
            <w:pPr>
              <w:pStyle w:val="null3"/>
              <w:jc w:val="both"/>
            </w:pPr>
            <w:r>
              <w:rPr>
                <w:sz w:val="21"/>
              </w:rPr>
              <w:t>5</w:t>
            </w:r>
            <w:r>
              <w:rPr>
                <w:sz w:val="21"/>
              </w:rPr>
              <w:t>）</w:t>
            </w:r>
            <w:r>
              <w:rPr>
                <w:sz w:val="21"/>
              </w:rPr>
              <w:t>能够存储不少于</w:t>
            </w:r>
            <w:r>
              <w:rPr>
                <w:sz w:val="21"/>
              </w:rPr>
              <w:t>1</w:t>
            </w:r>
            <w:r>
              <w:rPr>
                <w:sz w:val="21"/>
              </w:rPr>
              <w:t>年的原始数据和运行日志；</w:t>
            </w:r>
          </w:p>
          <w:p>
            <w:pPr>
              <w:pStyle w:val="null3"/>
              <w:jc w:val="both"/>
            </w:pPr>
            <w:r>
              <w:rPr>
                <w:sz w:val="21"/>
              </w:rPr>
              <w:t>6</w:t>
            </w:r>
            <w:r>
              <w:rPr>
                <w:sz w:val="21"/>
              </w:rPr>
              <w:t>）</w:t>
            </w:r>
            <w:r>
              <w:rPr>
                <w:sz w:val="21"/>
              </w:rPr>
              <w:t>具有异常信息记录、上传功能如采水故障、部件故障、超量程报警、超标报警、缺试剂报警等信息；</w:t>
            </w:r>
          </w:p>
          <w:p>
            <w:pPr>
              <w:pStyle w:val="null3"/>
              <w:jc w:val="both"/>
            </w:pPr>
            <w:r>
              <w:rPr>
                <w:sz w:val="21"/>
              </w:rPr>
              <w:t>7</w:t>
            </w:r>
            <w:r>
              <w:rPr>
                <w:sz w:val="21"/>
              </w:rPr>
              <w:t>）</w:t>
            </w:r>
            <w:r>
              <w:rPr>
                <w:sz w:val="21"/>
              </w:rPr>
              <w:t>具有仪器状态</w:t>
            </w:r>
            <w:r>
              <w:rPr>
                <w:sz w:val="21"/>
              </w:rPr>
              <w:t>（</w:t>
            </w:r>
            <w:r>
              <w:rPr>
                <w:sz w:val="21"/>
              </w:rPr>
              <w:t>如测量、空闲、故障等</w:t>
            </w:r>
            <w:r>
              <w:rPr>
                <w:sz w:val="21"/>
              </w:rPr>
              <w:t>）</w:t>
            </w:r>
            <w:r>
              <w:rPr>
                <w:sz w:val="21"/>
              </w:rPr>
              <w:t>显示；</w:t>
            </w:r>
          </w:p>
          <w:p>
            <w:pPr>
              <w:pStyle w:val="null3"/>
              <w:jc w:val="both"/>
            </w:pPr>
            <w:r>
              <w:rPr>
                <w:sz w:val="21"/>
              </w:rPr>
              <w:t>8</w:t>
            </w:r>
            <w:r>
              <w:rPr>
                <w:sz w:val="21"/>
              </w:rPr>
              <w:t>）</w:t>
            </w:r>
            <w:r>
              <w:rPr>
                <w:sz w:val="21"/>
              </w:rPr>
              <w:t>采用分光光度法分析项目具备独立的光路补偿以降低水质</w:t>
            </w:r>
            <w:r>
              <w:rPr/>
              <w:t xml:space="preserve"> </w:t>
            </w:r>
            <w:r>
              <w:rPr>
                <w:sz w:val="21"/>
              </w:rPr>
              <w:t>浊度干扰；</w:t>
            </w:r>
          </w:p>
          <w:p>
            <w:pPr>
              <w:pStyle w:val="null3"/>
              <w:jc w:val="both"/>
            </w:pPr>
            <w:r>
              <w:rPr>
                <w:sz w:val="21"/>
              </w:rPr>
              <w:t>9</w:t>
            </w:r>
            <w:r>
              <w:rPr>
                <w:sz w:val="21"/>
              </w:rPr>
              <w:t>）</w:t>
            </w:r>
            <w:r>
              <w:rPr>
                <w:sz w:val="21"/>
              </w:rPr>
              <w:t>具备</w:t>
            </w:r>
            <w:r>
              <w:rPr>
                <w:sz w:val="21"/>
              </w:rPr>
              <w:t>1</w:t>
            </w:r>
            <w:r>
              <w:rPr>
                <w:sz w:val="21"/>
              </w:rPr>
              <w:t>小时</w:t>
            </w:r>
            <w:r>
              <w:rPr>
                <w:sz w:val="21"/>
              </w:rPr>
              <w:t>1</w:t>
            </w:r>
            <w:r>
              <w:rPr>
                <w:sz w:val="21"/>
              </w:rPr>
              <w:t>次的应急监测能力。</w:t>
            </w:r>
          </w:p>
          <w:p>
            <w:pPr>
              <w:pStyle w:val="null3"/>
              <w:jc w:val="left"/>
            </w:pPr>
            <w:r>
              <w:rPr>
                <w:sz w:val="21"/>
                <w:b/>
              </w:rPr>
              <w:t>（</w:t>
            </w:r>
            <w:r>
              <w:rPr>
                <w:sz w:val="21"/>
                <w:b/>
              </w:rPr>
              <w:t>2</w:t>
            </w:r>
            <w:r>
              <w:rPr>
                <w:sz w:val="21"/>
                <w:b/>
              </w:rPr>
              <w:t>）水温水质自动分析仪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444"/>
              <w:gridCol w:w="3154"/>
            </w:tblGrid>
            <w:tr>
              <w:tc>
                <w:tcPr>
                  <w:tcW w:type="dxa" w:w="2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热电阻或热电偶</w:t>
                  </w:r>
                </w:p>
              </w:tc>
            </w:tr>
            <w:tr>
              <w:tc>
                <w:tcPr>
                  <w:tcW w:type="dxa" w:w="2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60</w:t>
                  </w:r>
                  <w:r>
                    <w:rPr>
                      <w:sz w:val="21"/>
                    </w:rPr>
                    <w:t>℃，可调</w:t>
                  </w:r>
                </w:p>
              </w:tc>
            </w:tr>
            <w:tr>
              <w:tc>
                <w:tcPr>
                  <w:tcW w:type="dxa" w:w="2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w:t>
                  </w:r>
                </w:p>
              </w:tc>
            </w:tr>
            <w:tr>
              <w:tc>
                <w:tcPr>
                  <w:tcW w:type="dxa" w:w="2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0.2</w:t>
                  </w:r>
                  <w:r>
                    <w:rPr>
                      <w:sz w:val="21"/>
                    </w:rPr>
                    <w:t>℃</w:t>
                  </w:r>
                </w:p>
              </w:tc>
            </w:tr>
            <w:tr>
              <w:tc>
                <w:tcPr>
                  <w:tcW w:type="dxa" w:w="2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w:t>
                  </w:r>
                </w:p>
              </w:tc>
            </w:tr>
            <w:tr>
              <w:tc>
                <w:tcPr>
                  <w:tcW w:type="dxa" w:w="2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w:t>
                  </w:r>
                  <w:r>
                    <w:rPr>
                      <w:sz w:val="21"/>
                    </w:rPr>
                    <w:t>℃</w:t>
                  </w:r>
                </w:p>
              </w:tc>
            </w:tr>
            <w:tr>
              <w:tc>
                <w:tcPr>
                  <w:tcW w:type="dxa" w:w="2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bl>
          <w:p>
            <w:pPr>
              <w:pStyle w:val="null3"/>
            </w:pPr>
            <w:r>
              <w:rPr/>
              <w:t xml:space="preserve"> </w:t>
            </w:r>
            <w:r>
              <w:rPr>
                <w:sz w:val="21"/>
                <w:b/>
              </w:rPr>
              <w:t>（</w:t>
            </w:r>
            <w:r>
              <w:rPr>
                <w:sz w:val="21"/>
                <w:b/>
              </w:rPr>
              <w:t>3</w:t>
            </w:r>
            <w:r>
              <w:rPr>
                <w:sz w:val="21"/>
                <w:b/>
              </w:rPr>
              <w:t>）</w:t>
            </w:r>
            <w:r>
              <w:rPr>
                <w:sz w:val="21"/>
                <w:b/>
              </w:rPr>
              <w:t>pH</w:t>
            </w:r>
            <w:r>
              <w:rPr>
                <w:sz w:val="21"/>
                <w:b/>
              </w:rPr>
              <w:t>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485"/>
              <w:gridCol w:w="3113"/>
            </w:tblGrid>
            <w:tr>
              <w:tc>
                <w:tcPr>
                  <w:tcW w:type="dxa" w:w="2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玻璃电极法</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 0</w:t>
                  </w:r>
                  <w:r>
                    <w:rPr>
                      <w:sz w:val="21"/>
                    </w:rPr>
                    <w:t>～</w:t>
                  </w:r>
                  <w:r>
                    <w:rPr>
                      <w:sz w:val="21"/>
                    </w:rPr>
                    <w:t>14</w:t>
                  </w:r>
                  <w:r>
                    <w:rPr>
                      <w:sz w:val="21"/>
                    </w:rPr>
                    <w:t>（</w:t>
                  </w:r>
                  <w:r>
                    <w:rPr>
                      <w:sz w:val="21"/>
                    </w:rPr>
                    <w:t>0</w:t>
                  </w:r>
                  <w:r>
                    <w:rPr>
                      <w:sz w:val="21"/>
                    </w:rPr>
                    <w:t>～</w:t>
                  </w:r>
                  <w:r>
                    <w:rPr>
                      <w:sz w:val="21"/>
                    </w:rPr>
                    <w:t>40</w:t>
                  </w:r>
                  <w:r>
                    <w:rPr>
                      <w:sz w:val="21"/>
                    </w:rPr>
                    <w:t>℃），可调</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漂移（</w:t>
                  </w:r>
                  <w:r>
                    <w:rPr>
                      <w:sz w:val="21"/>
                    </w:rPr>
                    <w:t>pH=4</w:t>
                  </w:r>
                  <w:r>
                    <w:rPr>
                      <w:sz w:val="21"/>
                    </w:rPr>
                    <w:t>、</w:t>
                  </w:r>
                  <w:r>
                    <w:rPr>
                      <w:sz w:val="21"/>
                    </w:rPr>
                    <w:t>7</w:t>
                  </w:r>
                  <w:r>
                    <w:rPr>
                      <w:sz w:val="21"/>
                    </w:rPr>
                    <w:t>、</w:t>
                  </w:r>
                  <w:r>
                    <w:rPr>
                      <w:sz w:val="21"/>
                    </w:rPr>
                    <w:t>9</w:t>
                  </w:r>
                  <w:r>
                    <w:rPr>
                      <w:sz w:val="21"/>
                    </w:rPr>
                    <w:t>）</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30s</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pH</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&lt;0.1pH</w:t>
                  </w:r>
                </w:p>
              </w:tc>
            </w:tr>
            <w:tr>
              <w:tc>
                <w:tcPr>
                  <w:tcW w:type="dxa" w:w="2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3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4</w:t>
            </w:r>
            <w:r>
              <w:rPr>
                <w:sz w:val="21"/>
                <w:b/>
              </w:rPr>
              <w:t>）溶解氧水质自动分析仪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471"/>
              <w:gridCol w:w="3127"/>
            </w:tblGrid>
            <w:tr>
              <w:tc>
                <w:tcPr>
                  <w:tcW w:type="dxa" w:w="2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电化学法、荧光法</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20mg/L</w:t>
                  </w:r>
                  <w:r>
                    <w:rPr>
                      <w:sz w:val="21"/>
                    </w:rPr>
                    <w:t>，可调</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r>
                    <w:rPr>
                      <w:sz w:val="21"/>
                    </w:rPr>
                    <w:t>T90</w:t>
                  </w:r>
                  <w:r>
                    <w:rPr>
                      <w:sz w:val="21"/>
                    </w:rPr>
                    <w:t>）</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120s</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&lt;0.1mg/l</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8</w:t>
                  </w:r>
                  <w:r>
                    <w:rPr>
                      <w:sz w:val="21"/>
                    </w:rPr>
                    <w:t>mg/L</w:t>
                  </w:r>
                  <w:r>
                    <w:rPr>
                      <w:sz w:val="21"/>
                    </w:rPr>
                    <w:t>，</w:t>
                  </w:r>
                  <w:r>
                    <w:rPr>
                      <w:sz w:val="21"/>
                    </w:rPr>
                    <w:t>当溶解氧水质自动分析仪与便携仪器均过饱和时，比对结果合格</w:t>
                  </w:r>
                </w:p>
              </w:tc>
            </w:tr>
            <w:tr>
              <w:tc>
                <w:tcPr>
                  <w:tcW w:type="dxa" w:w="2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3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5</w:t>
            </w:r>
            <w:r>
              <w:rPr>
                <w:sz w:val="21"/>
                <w:b/>
              </w:rPr>
              <w:t>）电导率水质自动分析仪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269"/>
              <w:gridCol w:w="3314"/>
            </w:tblGrid>
            <w:tr>
              <w:tc>
                <w:tcPr>
                  <w:tcW w:type="dxa" w:w="2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电极法</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最小检测范围</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500 mS/m</w:t>
                  </w:r>
                  <w:r>
                    <w:rPr>
                      <w:sz w:val="21"/>
                    </w:rPr>
                    <w:t>（</w:t>
                  </w:r>
                  <w:r>
                    <w:rPr>
                      <w:sz w:val="21"/>
                    </w:rPr>
                    <w:t>0</w:t>
                  </w:r>
                  <w:r>
                    <w:rPr>
                      <w:sz w:val="21"/>
                    </w:rPr>
                    <w:t>～</w:t>
                  </w:r>
                  <w:r>
                    <w:rPr>
                      <w:sz w:val="21"/>
                    </w:rPr>
                    <w:t>40</w:t>
                  </w:r>
                  <w:r>
                    <w:rPr>
                      <w:sz w:val="21"/>
                    </w:rPr>
                    <w:t>℃），可调</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w:t>
                  </w:r>
                  <w:r>
                    <w:rPr>
                      <w:sz w:val="21"/>
                    </w:rPr>
                    <w:t>100</w:t>
                  </w:r>
                  <w:r>
                    <w:rPr>
                      <w:sz w:val="21"/>
                    </w:rPr>
                    <w:t>uS/cm</w:t>
                  </w:r>
                  <w:r>
                    <w:rPr>
                      <w:sz w:val="21"/>
                    </w:rPr>
                    <w:t>，</w:t>
                  </w:r>
                  <w:r>
                    <w:rPr>
                      <w:sz w:val="21"/>
                    </w:rPr>
                    <w:t>±</w:t>
                  </w:r>
                  <w:r>
                    <w:rPr>
                      <w:sz w:val="21"/>
                    </w:rPr>
                    <w:t>5</w:t>
                  </w:r>
                  <w:r>
                    <w:rPr>
                      <w:sz w:val="21"/>
                    </w:rPr>
                    <w:t>%</w:t>
                  </w:r>
                  <w:r>
                    <w:rPr>
                      <w:sz w:val="21"/>
                    </w:rPr>
                    <w:t>；</w:t>
                  </w:r>
                  <w:r>
                    <w:rPr>
                      <w:sz w:val="21"/>
                    </w:rPr>
                    <w:t>标准溶液</w:t>
                  </w:r>
                  <w:r>
                    <w:rPr>
                      <w:sz w:val="21"/>
                    </w:rPr>
                    <w:t>≤</w:t>
                  </w:r>
                  <w:r>
                    <w:rPr>
                      <w:sz w:val="21"/>
                    </w:rPr>
                    <w:t>100</w:t>
                  </w:r>
                  <w:r>
                    <w:rPr>
                      <w:sz w:val="21"/>
                    </w:rPr>
                    <w:t>uS/cm</w:t>
                  </w:r>
                  <w:r>
                    <w:rPr>
                      <w:sz w:val="21"/>
                    </w:rPr>
                    <w:t>，</w:t>
                  </w:r>
                  <w:r>
                    <w:rPr>
                      <w:sz w:val="21"/>
                    </w:rPr>
                    <w:t>≤</w:t>
                  </w:r>
                  <w:r>
                    <w:rPr>
                      <w:sz w:val="21"/>
                    </w:rPr>
                    <w:t>5</w:t>
                  </w:r>
                  <w:r>
                    <w:rPr>
                      <w:sz w:val="21"/>
                    </w:rPr>
                    <w:t>uS/cm</w:t>
                  </w:r>
                  <w:r>
                    <w:rPr>
                      <w:sz w:val="21"/>
                    </w:rPr>
                    <w:t>以内</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r>
                    <w:rPr>
                      <w:sz w:val="21"/>
                    </w:rPr>
                    <w:t>T90</w:t>
                  </w:r>
                  <w:r>
                    <w:rPr>
                      <w:sz w:val="21"/>
                    </w:rPr>
                    <w:t>）</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30s</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便携式检测结果</w:t>
                  </w:r>
                  <w:r>
                    <w:rPr>
                      <w:sz w:val="21"/>
                    </w:rPr>
                    <w:t>≤</w:t>
                  </w:r>
                  <w:r>
                    <w:rPr>
                      <w:sz w:val="21"/>
                    </w:rPr>
                    <w:t>100</w:t>
                  </w:r>
                  <w:r>
                    <w:rPr>
                      <w:sz w:val="21"/>
                    </w:rPr>
                    <w:t>uS/cm</w:t>
                  </w:r>
                  <w:r>
                    <w:rPr>
                      <w:sz w:val="21"/>
                    </w:rPr>
                    <w:t>，</w:t>
                  </w:r>
                  <w:r>
                    <w:rPr>
                      <w:sz w:val="21"/>
                    </w:rPr>
                    <w:t>≤</w:t>
                  </w:r>
                  <w:r>
                    <w:rPr>
                      <w:sz w:val="21"/>
                    </w:rPr>
                    <w:t>10</w:t>
                  </w:r>
                  <w:r>
                    <w:rPr>
                      <w:sz w:val="21"/>
                    </w:rPr>
                    <w:t>uS/cm</w:t>
                  </w:r>
                  <w:r>
                    <w:rPr>
                      <w:sz w:val="21"/>
                    </w:rPr>
                    <w:t>以内；便携式检测结果＞</w:t>
                  </w:r>
                  <w:r>
                    <w:rPr>
                      <w:sz w:val="21"/>
                    </w:rPr>
                    <w:t>100</w:t>
                  </w:r>
                  <w:r>
                    <w:rPr>
                      <w:sz w:val="21"/>
                    </w:rPr>
                    <w:t>uS/cm</w:t>
                  </w:r>
                  <w:r>
                    <w:rPr>
                      <w:sz w:val="21"/>
                    </w:rPr>
                    <w:t>，</w:t>
                  </w:r>
                  <w:r>
                    <w:rPr>
                      <w:sz w:val="21"/>
                    </w:rPr>
                    <w:t>±</w:t>
                  </w:r>
                  <w:r>
                    <w:rPr>
                      <w:sz w:val="21"/>
                    </w:rPr>
                    <w:t>10</w:t>
                  </w:r>
                  <w:r>
                    <w:rPr>
                      <w:sz w:val="21"/>
                    </w:rPr>
                    <w:t>%</w:t>
                  </w:r>
                  <w:r>
                    <w:rPr>
                      <w:sz w:val="21"/>
                    </w:rPr>
                    <w:t>以内</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 uS/cm</w:t>
                  </w:r>
                </w:p>
              </w:tc>
            </w:tr>
            <w:tr>
              <w:tc>
                <w:tcPr>
                  <w:tcW w:type="dxa" w:w="2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3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6</w:t>
            </w:r>
            <w:r>
              <w:rPr>
                <w:sz w:val="21"/>
                <w:b/>
              </w:rPr>
              <w:t>）浊度水质自动分析仪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520"/>
              <w:gridCol w:w="3060"/>
            </w:tblGrid>
            <w:tr>
              <w:tc>
                <w:tcPr>
                  <w:tcW w:type="dxa" w:w="2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光散射法</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1000NTU</w:t>
                  </w:r>
                  <w:r>
                    <w:rPr>
                      <w:sz w:val="21"/>
                    </w:rPr>
                    <w:t>，可调</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线性误差</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便携式结果</w:t>
                  </w:r>
                  <w:r>
                    <w:rPr>
                      <w:sz w:val="21"/>
                    </w:rPr>
                    <w:t>≤</w:t>
                  </w:r>
                  <w:r>
                    <w:rPr>
                      <w:sz w:val="21"/>
                    </w:rPr>
                    <w:t>50NTU</w:t>
                  </w:r>
                  <w:r>
                    <w:rPr>
                      <w:sz w:val="21"/>
                    </w:rPr>
                    <w:t>，</w:t>
                  </w:r>
                  <w:r>
                    <w:rPr>
                      <w:sz w:val="21"/>
                    </w:rPr>
                    <w:t>±</w:t>
                  </w:r>
                  <w:r>
                    <w:rPr>
                      <w:sz w:val="21"/>
                    </w:rPr>
                    <w:t>3</w:t>
                  </w:r>
                  <w:r>
                    <w:rPr>
                      <w:sz w:val="21"/>
                    </w:rPr>
                    <w:t>0%</w:t>
                  </w:r>
                  <w:r>
                    <w:rPr>
                      <w:sz w:val="21"/>
                    </w:rPr>
                    <w:t>以内；便携式结果＞</w:t>
                  </w:r>
                  <w:r>
                    <w:rPr>
                      <w:sz w:val="21"/>
                    </w:rPr>
                    <w:t>50NTU</w:t>
                  </w:r>
                  <w:r>
                    <w:rPr>
                      <w:sz w:val="21"/>
                    </w:rPr>
                    <w:t>时，</w:t>
                  </w:r>
                  <w:r>
                    <w:rPr>
                      <w:sz w:val="21"/>
                    </w:rPr>
                    <w:t>±</w:t>
                  </w:r>
                  <w:r>
                    <w:rPr>
                      <w:sz w:val="21"/>
                    </w:rPr>
                    <w:t>2</w:t>
                  </w:r>
                  <w:r>
                    <w:rPr>
                      <w:sz w:val="21"/>
                    </w:rPr>
                    <w:t>0%</w:t>
                  </w:r>
                  <w:r>
                    <w:rPr>
                      <w:sz w:val="21"/>
                    </w:rPr>
                    <w:t>以内；当浊度自动监测仪与便携仪检测结果均</w:t>
                  </w:r>
                  <w:r>
                    <w:rPr>
                      <w:sz w:val="21"/>
                    </w:rPr>
                    <w:t>≤</w:t>
                  </w:r>
                  <w:r>
                    <w:rPr>
                      <w:sz w:val="21"/>
                    </w:rPr>
                    <w:t>30NTU</w:t>
                  </w:r>
                  <w:r>
                    <w:rPr>
                      <w:sz w:val="21"/>
                    </w:rPr>
                    <w:t>或≥</w:t>
                  </w:r>
                  <w:r>
                    <w:rPr>
                      <w:sz w:val="21"/>
                    </w:rPr>
                    <w:t>1000NTU</w:t>
                  </w:r>
                  <w:r>
                    <w:rPr>
                      <w:sz w:val="21"/>
                    </w:rPr>
                    <w:t>时，判定比对结果合格。</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 NTU</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7</w:t>
            </w:r>
            <w:r>
              <w:rPr>
                <w:sz w:val="21"/>
                <w:b/>
              </w:rPr>
              <w:t>）总磷水质自动分析仪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655"/>
              <w:gridCol w:w="2925"/>
            </w:tblGrid>
            <w:tr>
              <w:tc>
                <w:tcPr>
                  <w:tcW w:type="dxa" w:w="2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钼酸铵分光光度法</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2mg/L</w:t>
                  </w:r>
                  <w:r>
                    <w:rPr>
                      <w:sz w:val="21"/>
                    </w:rPr>
                    <w:t>，可调</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0.01mg/L</w:t>
                  </w:r>
                </w:p>
              </w:tc>
            </w:tr>
            <w:tr>
              <w:tc>
                <w:tcPr>
                  <w:tcW w:type="dxa" w:w="265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0.02mg/L</w:t>
                  </w:r>
                  <w:r>
                    <w:rPr>
                      <w:sz w:val="21"/>
                    </w:rPr>
                    <w:t>以内</w:t>
                  </w:r>
                </w:p>
              </w:tc>
            </w:tr>
            <w:tr>
              <w:tc>
                <w:tcPr>
                  <w:tcW w:type="dxa" w:w="2655"/>
                  <w:vMerge/>
                  <w:tcBorders>
                    <w:top w:val="none" w:color="000000" w:sz="4"/>
                    <w:left w:val="single" w:color="000000" w:sz="4"/>
                    <w:bottom w:val="none" w:color="000000" w:sz="4"/>
                    <w:right w:val="single" w:color="000000" w:sz="4"/>
                  </w:tcBorders>
                </w:tcP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2655"/>
                  <w:vMerge/>
                  <w:tcBorders>
                    <w:top w:val="none" w:color="000000" w:sz="4"/>
                    <w:left w:val="single" w:color="000000" w:sz="4"/>
                    <w:bottom w:val="none" w:color="000000" w:sz="4"/>
                    <w:right w:val="single" w:color="000000" w:sz="4"/>
                  </w:tcBorders>
                </w:tcP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8</w:t>
            </w:r>
            <w:r>
              <w:rPr>
                <w:sz w:val="21"/>
                <w:b/>
              </w:rPr>
              <w:t>）氨氮水质自动分析仪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665"/>
              <w:gridCol w:w="2918"/>
            </w:tblGrid>
            <w:tr>
              <w:tc>
                <w:tcPr>
                  <w:tcW w:type="dxa" w:w="26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665"/>
                  <w:vMerge/>
                  <w:tcBorders>
                    <w:top w:val="single" w:color="000000" w:sz="4"/>
                    <w:left w:val="single" w:color="000000" w:sz="4"/>
                    <w:bottom w:val="single" w:color="000000" w:sz="4"/>
                    <w:right w:val="single" w:color="000000" w:sz="4"/>
                  </w:tcBorders>
                </w:tcP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光度法</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10mg/l</w:t>
                  </w:r>
                  <w:r>
                    <w:rPr>
                      <w:sz w:val="21"/>
                    </w:rPr>
                    <w:t>，可调</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0.05mg/l</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66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0.2mg/L</w:t>
                  </w:r>
                  <w:r>
                    <w:rPr>
                      <w:sz w:val="21"/>
                    </w:rPr>
                    <w:t>以内</w:t>
                  </w:r>
                </w:p>
              </w:tc>
            </w:tr>
            <w:tr>
              <w:tc>
                <w:tcPr>
                  <w:tcW w:type="dxa" w:w="2665"/>
                  <w:vMerge/>
                  <w:tcBorders>
                    <w:top w:val="none" w:color="000000" w:sz="4"/>
                    <w:left w:val="single" w:color="000000" w:sz="4"/>
                    <w:bottom w:val="none" w:color="000000" w:sz="4"/>
                    <w:right w:val="single" w:color="000000" w:sz="4"/>
                  </w:tcBorders>
                </w:tcP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2665"/>
                  <w:vMerge/>
                  <w:tcBorders>
                    <w:top w:val="none" w:color="000000" w:sz="4"/>
                    <w:left w:val="single" w:color="000000" w:sz="4"/>
                    <w:bottom w:val="none" w:color="000000" w:sz="4"/>
                    <w:right w:val="single" w:color="000000" w:sz="4"/>
                  </w:tcBorders>
                </w:tcP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2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9</w:t>
            </w:r>
            <w:r>
              <w:rPr>
                <w:sz w:val="21"/>
                <w:b/>
              </w:rPr>
              <w:t>）高锰酸盐指数水质自动分析仪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625"/>
              <w:gridCol w:w="2940"/>
            </w:tblGrid>
            <w:tr>
              <w:tc>
                <w:tcPr>
                  <w:tcW w:type="dxa" w:w="2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高锰酸钾氧化法</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20mg/L</w:t>
                  </w:r>
                  <w:r>
                    <w:rPr>
                      <w:sz w:val="21"/>
                    </w:rPr>
                    <w:t>，可调</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葡萄糖试验</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（测量误差）</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r>
                    <w:rPr>
                      <w:sz w:val="21"/>
                    </w:rPr>
                    <w:t>mg/L</w:t>
                  </w:r>
                </w:p>
              </w:tc>
            </w:tr>
            <w:tr>
              <w:tc>
                <w:tcPr>
                  <w:tcW w:type="dxa" w:w="262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1mg/L</w:t>
                  </w:r>
                  <w:r>
                    <w:rPr>
                      <w:sz w:val="21"/>
                    </w:rPr>
                    <w:t>以内</w:t>
                  </w:r>
                </w:p>
              </w:tc>
            </w:tr>
            <w:tr>
              <w:tc>
                <w:tcPr>
                  <w:tcW w:type="dxa" w:w="2625"/>
                  <w:vMerge/>
                  <w:tcBorders>
                    <w:top w:val="none" w:color="000000" w:sz="4"/>
                    <w:left w:val="single" w:color="000000" w:sz="4"/>
                    <w:bottom w:val="none" w:color="000000" w:sz="4"/>
                    <w:right w:val="single" w:color="000000" w:sz="4"/>
                  </w:tcBorders>
                </w:tcP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2625"/>
                  <w:vMerge/>
                  <w:tcBorders>
                    <w:top w:val="none" w:color="000000" w:sz="4"/>
                    <w:left w:val="single" w:color="000000" w:sz="4"/>
                    <w:bottom w:val="none" w:color="000000" w:sz="4"/>
                    <w:right w:val="single" w:color="000000" w:sz="4"/>
                  </w:tcBorders>
                </w:tcP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 h/</w:t>
                  </w:r>
                  <w:r>
                    <w:rPr>
                      <w:sz w:val="21"/>
                    </w:rPr>
                    <w:t>次</w:t>
                  </w:r>
                </w:p>
              </w:tc>
            </w:tr>
            <w:tr>
              <w:tc>
                <w:tcPr>
                  <w:tcW w:type="dxa" w:w="2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2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10</w:t>
            </w:r>
            <w:r>
              <w:rPr>
                <w:sz w:val="21"/>
                <w:b/>
              </w:rPr>
              <w:t>）</w:t>
            </w:r>
            <w:r>
              <w:rPr>
                <w:sz w:val="21"/>
                <w:b/>
              </w:rPr>
              <w:t>总氮</w:t>
            </w:r>
            <w:r>
              <w:rPr>
                <w:sz w:val="21"/>
                <w:b/>
              </w:rPr>
              <w:t>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640"/>
              <w:gridCol w:w="2910"/>
            </w:tblGrid>
            <w:tr>
              <w:tc>
                <w:tcPr>
                  <w:tcW w:type="dxa" w:w="26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9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640"/>
                  <w:vMerge/>
                  <w:tcBorders>
                    <w:top w:val="single" w:color="000000" w:sz="4"/>
                    <w:left w:val="single" w:color="000000" w:sz="4"/>
                    <w:bottom w:val="single" w:color="000000" w:sz="4"/>
                    <w:right w:val="single" w:color="000000" w:sz="4"/>
                  </w:tcBorders>
                </w:tcP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光度法</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w:t>
                  </w:r>
                  <w:r>
                    <w:rPr>
                      <w:sz w:val="21"/>
                    </w:rPr>
                    <w:t>0</w:t>
                  </w:r>
                  <w:r>
                    <w:rPr>
                      <w:sz w:val="21"/>
                    </w:rPr>
                    <w:t>mg/l</w:t>
                  </w:r>
                  <w:r>
                    <w:rPr>
                      <w:sz w:val="21"/>
                    </w:rPr>
                    <w:t>，可调</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1</w:t>
                  </w:r>
                  <w:r>
                    <w:rPr>
                      <w:sz w:val="21"/>
                    </w:rPr>
                    <w:t>mg/l</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64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0.3mg/L</w:t>
                  </w:r>
                  <w:r>
                    <w:rPr>
                      <w:sz w:val="21"/>
                    </w:rPr>
                    <w:t>以内</w:t>
                  </w:r>
                </w:p>
              </w:tc>
            </w:tr>
            <w:tr>
              <w:tc>
                <w:tcPr>
                  <w:tcW w:type="dxa" w:w="2640"/>
                  <w:vMerge/>
                  <w:tcBorders>
                    <w:top w:val="none" w:color="000000" w:sz="4"/>
                    <w:left w:val="single" w:color="000000" w:sz="4"/>
                    <w:bottom w:val="none" w:color="000000" w:sz="4"/>
                    <w:right w:val="single" w:color="000000" w:sz="4"/>
                  </w:tcBorders>
                </w:tcP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2640"/>
                  <w:vMerge/>
                  <w:tcBorders>
                    <w:top w:val="none" w:color="000000" w:sz="4"/>
                    <w:left w:val="single" w:color="000000" w:sz="4"/>
                    <w:bottom w:val="none" w:color="000000" w:sz="4"/>
                    <w:right w:val="single" w:color="000000" w:sz="4"/>
                  </w:tcBorders>
                </w:tcP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jc w:val="both"/>
            </w:pPr>
            <w:r>
              <w:rPr>
                <w:sz w:val="21"/>
              </w:rPr>
              <w:t>注：</w:t>
            </w:r>
            <w:r>
              <w:rPr>
                <w:sz w:val="21"/>
              </w:rPr>
              <w:t>①当</w:t>
            </w:r>
            <w:r>
              <w:rPr>
                <w:sz w:val="21"/>
                <w:i/>
              </w:rPr>
              <w:t>Cx</w:t>
            </w:r>
            <w:r>
              <w:rPr>
                <w:sz w:val="21"/>
              </w:rPr>
              <w:t xml:space="preserve">&gt; </w:t>
            </w:r>
            <w:r>
              <w:rPr>
                <w:sz w:val="21"/>
                <w:i/>
              </w:rPr>
              <w:t>B</w:t>
            </w:r>
            <w:r>
              <w:rPr>
                <w:sz w:val="21"/>
              </w:rPr>
              <w:t>Ⅳ，比对实验的相对误差在</w:t>
            </w:r>
            <w:r>
              <w:rPr>
                <w:sz w:val="21"/>
              </w:rPr>
              <w:t>20%</w:t>
            </w:r>
            <w:r>
              <w:rPr>
                <w:sz w:val="21"/>
              </w:rPr>
              <w:t>以内；</w:t>
            </w:r>
          </w:p>
          <w:p>
            <w:pPr>
              <w:pStyle w:val="null3"/>
              <w:ind w:firstLine="630"/>
              <w:jc w:val="both"/>
            </w:pPr>
            <w:r>
              <w:rPr>
                <w:sz w:val="21"/>
              </w:rPr>
              <w:t>当</w:t>
            </w:r>
            <w:r>
              <w:rPr>
                <w:sz w:val="21"/>
                <w:i/>
              </w:rPr>
              <w:t>B</w:t>
            </w:r>
            <w:r>
              <w:rPr>
                <w:sz w:val="21"/>
              </w:rPr>
              <w:t>Ⅱ</w:t>
            </w:r>
            <w:r>
              <w:rPr>
                <w:sz w:val="21"/>
              </w:rPr>
              <w:t xml:space="preserve">&lt; </w:t>
            </w:r>
            <w:r>
              <w:rPr>
                <w:sz w:val="21"/>
                <w:i/>
              </w:rPr>
              <w:t>Cx</w:t>
            </w:r>
            <w:r>
              <w:rPr>
                <w:sz w:val="21"/>
              </w:rPr>
              <w:t xml:space="preserve">£ </w:t>
            </w:r>
            <w:r>
              <w:rPr>
                <w:sz w:val="21"/>
                <w:i/>
              </w:rPr>
              <w:t>B</w:t>
            </w:r>
            <w:r>
              <w:rPr>
                <w:sz w:val="21"/>
              </w:rPr>
              <w:t>Ⅳ，比对实验的相对误差在</w:t>
            </w:r>
            <w:r>
              <w:rPr>
                <w:sz w:val="21"/>
              </w:rPr>
              <w:t>30%</w:t>
            </w:r>
            <w:r>
              <w:rPr>
                <w:sz w:val="21"/>
              </w:rPr>
              <w:t>以内；</w:t>
            </w:r>
          </w:p>
          <w:p>
            <w:pPr>
              <w:pStyle w:val="null3"/>
              <w:ind w:firstLine="630"/>
              <w:jc w:val="both"/>
            </w:pPr>
            <w:r>
              <w:rPr>
                <w:sz w:val="21"/>
              </w:rPr>
              <w:t>当</w:t>
            </w:r>
            <w:r>
              <w:rPr>
                <w:sz w:val="21"/>
              </w:rPr>
              <w:t>4</w:t>
            </w:r>
            <w:r>
              <w:rPr>
                <w:sz w:val="21"/>
                <w:i/>
              </w:rPr>
              <w:t>DL</w:t>
            </w:r>
            <w:r>
              <w:rPr>
                <w:sz w:val="21"/>
              </w:rPr>
              <w:t xml:space="preserve">&lt; </w:t>
            </w:r>
            <w:r>
              <w:rPr>
                <w:sz w:val="21"/>
                <w:i/>
              </w:rPr>
              <w:t>Cx</w:t>
            </w:r>
            <w:r>
              <w:rPr>
                <w:sz w:val="21"/>
              </w:rPr>
              <w:t xml:space="preserve">£ </w:t>
            </w:r>
            <w:r>
              <w:rPr>
                <w:sz w:val="21"/>
                <w:i/>
              </w:rPr>
              <w:t>B</w:t>
            </w:r>
            <w:r>
              <w:rPr>
                <w:sz w:val="21"/>
              </w:rPr>
              <w:t>Ⅱ，比对实验的相对误差在</w:t>
            </w:r>
            <w:r>
              <w:rPr>
                <w:sz w:val="21"/>
              </w:rPr>
              <w:t>40%</w:t>
            </w:r>
            <w:r>
              <w:rPr>
                <w:sz w:val="21"/>
              </w:rPr>
              <w:t>以内；</w:t>
            </w:r>
          </w:p>
          <w:p>
            <w:pPr>
              <w:pStyle w:val="null3"/>
              <w:jc w:val="both"/>
            </w:pPr>
            <w:r>
              <w:rPr>
                <w:sz w:val="21"/>
              </w:rPr>
              <w:t>当自动监测数据和实验室分析结果双方都未检出，或有一方未检出且另一方的测定值低于</w:t>
            </w:r>
            <w:r>
              <w:rPr>
                <w:sz w:val="21"/>
                <w:i/>
              </w:rPr>
              <w:t>B</w:t>
            </w:r>
            <w:r>
              <w:rPr>
                <w:sz w:val="21"/>
              </w:rPr>
              <w:t>Ⅰ时，均认定对比实验结果合格；</w:t>
            </w:r>
          </w:p>
          <w:p>
            <w:pPr>
              <w:pStyle w:val="null3"/>
              <w:ind w:firstLine="630"/>
              <w:jc w:val="both"/>
            </w:pPr>
            <w:r>
              <w:rPr>
                <w:sz w:val="21"/>
              </w:rPr>
              <w:t>式中：</w:t>
            </w:r>
            <w:r>
              <w:rPr>
                <w:sz w:val="21"/>
                <w:i/>
              </w:rPr>
              <w:t>Cx</w:t>
            </w:r>
            <w:r>
              <w:rPr>
                <w:sz w:val="21"/>
              </w:rPr>
              <w:t>——仪器测定浓度；</w:t>
            </w:r>
          </w:p>
          <w:p>
            <w:pPr>
              <w:pStyle w:val="null3"/>
              <w:jc w:val="both"/>
            </w:pPr>
            <w:r>
              <w:rPr>
                <w:sz w:val="21"/>
                <w:i/>
              </w:rPr>
              <w:t>B</w:t>
            </w:r>
            <w:r>
              <w:rPr>
                <w:sz w:val="21"/>
              </w:rPr>
              <w:t>——</w:t>
            </w:r>
            <w:r>
              <w:rPr>
                <w:sz w:val="21"/>
              </w:rPr>
              <w:t>GB 3838</w:t>
            </w:r>
            <w:r>
              <w:rPr>
                <w:sz w:val="21"/>
              </w:rPr>
              <w:t>表</w:t>
            </w:r>
            <w:r>
              <w:rPr>
                <w:sz w:val="21"/>
              </w:rPr>
              <w:t>1</w:t>
            </w:r>
            <w:r>
              <w:rPr>
                <w:sz w:val="21"/>
              </w:rPr>
              <w:t>中相应的水质类别标准限值；</w:t>
            </w:r>
          </w:p>
          <w:p>
            <w:pPr>
              <w:pStyle w:val="null3"/>
              <w:jc w:val="both"/>
            </w:pPr>
            <w:r>
              <w:rPr>
                <w:sz w:val="21"/>
              </w:rPr>
              <w:t>4</w:t>
            </w:r>
            <w:r>
              <w:rPr>
                <w:sz w:val="21"/>
                <w:i/>
              </w:rPr>
              <w:t>DL</w:t>
            </w:r>
            <w:r>
              <w:rPr>
                <w:sz w:val="21"/>
              </w:rPr>
              <w:t>——</w:t>
            </w:r>
            <w:r>
              <w:rPr>
                <w:sz w:val="21"/>
              </w:rPr>
              <w:t>测定下限。</w:t>
            </w:r>
          </w:p>
        </w:tc>
      </w:tr>
      <w:tr>
        <w:tc>
          <w:tcPr>
            <w:tcW w:type="dxa" w:w="2076"/>
          </w:tcPr>
          <w:p/>
        </w:tc>
        <w:tc>
          <w:tcPr>
            <w:tcW w:type="dxa" w:w="415"/>
          </w:tcPr>
          <w:p>
            <w:pPr>
              <w:pStyle w:val="null3"/>
            </w:pPr>
            <w:r>
              <w:rPr/>
              <w:t>4</w:t>
            </w:r>
          </w:p>
        </w:tc>
        <w:tc>
          <w:tcPr>
            <w:tcW w:type="dxa" w:w="5814"/>
          </w:tcPr>
          <w:p>
            <w:pPr>
              <w:pStyle w:val="null3"/>
              <w:jc w:val="both"/>
            </w:pPr>
            <w:r>
              <w:rPr>
                <w:sz w:val="21"/>
                <w:b/>
              </w:rPr>
              <w:t>运维管理要求：</w:t>
            </w:r>
          </w:p>
          <w:p>
            <w:pPr>
              <w:pStyle w:val="null3"/>
              <w:jc w:val="both"/>
            </w:pPr>
            <w:r>
              <w:rPr>
                <w:sz w:val="21"/>
              </w:rPr>
              <w:t>1.运行维护基本要求</w:t>
            </w:r>
          </w:p>
          <w:p>
            <w:pPr>
              <w:pStyle w:val="null3"/>
              <w:jc w:val="both"/>
            </w:pPr>
            <w:r>
              <w:rPr>
                <w:sz w:val="21"/>
              </w:rPr>
              <w:t>中标人在服务期必须遵守国家的有关法律、法规及其他规定，依照有关规范和技术要求，建立覆盖人、机、料、法、环等环节的运维管理体系</w:t>
            </w:r>
            <w:r>
              <w:rPr>
                <w:sz w:val="21"/>
              </w:rPr>
              <w:t>，</w:t>
            </w:r>
            <w:r>
              <w:rPr>
                <w:sz w:val="21"/>
              </w:rPr>
              <w:t xml:space="preserve"> </w:t>
            </w:r>
            <w:r>
              <w:rPr>
                <w:sz w:val="21"/>
              </w:rPr>
              <w:t>保障水质监测系统正常可靠运行，运行结果达到采购人的考核指标要求。</w:t>
            </w:r>
          </w:p>
          <w:p>
            <w:pPr>
              <w:pStyle w:val="null3"/>
              <w:jc w:val="both"/>
            </w:pPr>
            <w:r>
              <w:rPr>
                <w:sz w:val="21"/>
              </w:rPr>
              <w:t>（</w:t>
            </w:r>
            <w:r>
              <w:rPr>
                <w:sz w:val="21"/>
              </w:rPr>
              <w:t>1</w:t>
            </w:r>
            <w:r>
              <w:rPr>
                <w:sz w:val="21"/>
              </w:rPr>
              <w:t>）</w:t>
            </w:r>
            <w:r>
              <w:rPr>
                <w:sz w:val="21"/>
              </w:rPr>
              <w:t>监测频次</w:t>
            </w:r>
          </w:p>
          <w:p>
            <w:pPr>
              <w:pStyle w:val="null3"/>
              <w:jc w:val="both"/>
            </w:pPr>
            <w:r>
              <w:rPr>
                <w:sz w:val="21"/>
              </w:rPr>
              <w:t>常规五参数（</w:t>
            </w:r>
            <w:r>
              <w:rPr>
                <w:sz w:val="21"/>
              </w:rPr>
              <w:t>pH值</w:t>
            </w:r>
            <w:r>
              <w:rPr>
                <w:sz w:val="21"/>
              </w:rPr>
              <w:t>、溶解氧、浊度、电导率、水温）应按照每小时</w:t>
            </w:r>
            <w:r>
              <w:rPr>
                <w:sz w:val="21"/>
              </w:rPr>
              <w:t>1次的频次进行监测，其他参数应按照4小时1次的频次进行水质监测，具体为0:00、4:00、8:00、12:00、16:00、20:00，必要时可进行加密监测。</w:t>
            </w:r>
          </w:p>
          <w:p>
            <w:pPr>
              <w:pStyle w:val="null3"/>
              <w:jc w:val="both"/>
            </w:pPr>
            <w:r>
              <w:rPr>
                <w:sz w:val="21"/>
              </w:rPr>
              <w:t>（</w:t>
            </w:r>
            <w:r>
              <w:rPr>
                <w:sz w:val="21"/>
              </w:rPr>
              <w:t>2</w:t>
            </w:r>
            <w:r>
              <w:rPr>
                <w:sz w:val="21"/>
              </w:rPr>
              <w:t>）</w:t>
            </w:r>
            <w:r>
              <w:rPr>
                <w:sz w:val="21"/>
              </w:rPr>
              <w:t>运维计划和运维报告</w:t>
            </w:r>
          </w:p>
          <w:p>
            <w:pPr>
              <w:pStyle w:val="null3"/>
              <w:jc w:val="both"/>
            </w:pPr>
            <w:r>
              <w:rPr>
                <w:sz w:val="21"/>
              </w:rPr>
              <w:t>1</w:t>
            </w:r>
            <w:r>
              <w:rPr>
                <w:sz w:val="21"/>
              </w:rPr>
              <w:t>）</w:t>
            </w:r>
            <w:r>
              <w:rPr>
                <w:sz w:val="21"/>
              </w:rPr>
              <w:t>运维计划</w:t>
            </w:r>
          </w:p>
          <w:p>
            <w:pPr>
              <w:pStyle w:val="null3"/>
              <w:jc w:val="both"/>
            </w:pPr>
            <w:r>
              <w:rPr>
                <w:sz w:val="21"/>
              </w:rPr>
              <w:t>中标人定期制定运维计划，内容包括维护时间、维护人员、维护内容（试剂更换、耗材更换、仪器校准、部件清洗）等。</w:t>
            </w:r>
          </w:p>
          <w:p>
            <w:pPr>
              <w:pStyle w:val="null3"/>
              <w:jc w:val="both"/>
            </w:pPr>
            <w:r>
              <w:rPr>
                <w:sz w:val="21"/>
              </w:rPr>
              <w:t>2</w:t>
            </w:r>
            <w:r>
              <w:rPr>
                <w:sz w:val="21"/>
              </w:rPr>
              <w:t>）</w:t>
            </w:r>
            <w:r>
              <w:rPr>
                <w:sz w:val="21"/>
              </w:rPr>
              <w:t>运维报告</w:t>
            </w:r>
          </w:p>
          <w:p>
            <w:pPr>
              <w:pStyle w:val="null3"/>
              <w:jc w:val="both"/>
            </w:pPr>
            <w:r>
              <w:rPr>
                <w:sz w:val="21"/>
              </w:rPr>
              <w:t>中标人每月</w:t>
            </w:r>
            <w:r>
              <w:rPr>
                <w:sz w:val="21"/>
              </w:rPr>
              <w:t>3日前应提交上月运维报告（如遇节假日可以延后至节假日后第一个工作日提交），内容包括水站参数配置、维护人员、实际巡检日期、维护内容、维护效果等。</w:t>
            </w:r>
          </w:p>
          <w:p>
            <w:pPr>
              <w:pStyle w:val="null3"/>
              <w:jc w:val="both"/>
            </w:pPr>
            <w:r>
              <w:rPr>
                <w:sz w:val="21"/>
              </w:rPr>
              <w:t>（</w:t>
            </w:r>
            <w:r>
              <w:rPr>
                <w:sz w:val="21"/>
              </w:rPr>
              <w:t>3</w:t>
            </w:r>
            <w:r>
              <w:rPr>
                <w:sz w:val="21"/>
              </w:rPr>
              <w:t>）</w:t>
            </w:r>
            <w:r>
              <w:rPr>
                <w:sz w:val="21"/>
              </w:rPr>
              <w:t>质控计划与质控报告</w:t>
            </w:r>
          </w:p>
          <w:p>
            <w:pPr>
              <w:pStyle w:val="null3"/>
              <w:jc w:val="both"/>
            </w:pPr>
            <w:r>
              <w:rPr>
                <w:sz w:val="21"/>
              </w:rPr>
              <w:t>1</w:t>
            </w:r>
            <w:r>
              <w:rPr>
                <w:sz w:val="21"/>
              </w:rPr>
              <w:t>）</w:t>
            </w:r>
            <w:r>
              <w:rPr>
                <w:sz w:val="21"/>
              </w:rPr>
              <w:t>质控计划</w:t>
            </w:r>
          </w:p>
          <w:p>
            <w:pPr>
              <w:pStyle w:val="null3"/>
              <w:jc w:val="both"/>
            </w:pPr>
            <w:r>
              <w:rPr>
                <w:sz w:val="21"/>
              </w:rPr>
              <w:t>中标人每月最后一周应制定下月质控计划，内容包括水站各监测项目质控措施及计划质控时间、质控测试所采用标准溶液浓度等。</w:t>
            </w:r>
          </w:p>
          <w:p>
            <w:pPr>
              <w:pStyle w:val="null3"/>
              <w:jc w:val="both"/>
            </w:pPr>
            <w:r>
              <w:rPr>
                <w:sz w:val="21"/>
              </w:rPr>
              <w:t>2</w:t>
            </w:r>
            <w:r>
              <w:rPr>
                <w:sz w:val="21"/>
              </w:rPr>
              <w:t>）</w:t>
            </w:r>
            <w:r>
              <w:rPr>
                <w:sz w:val="21"/>
              </w:rPr>
              <w:t>质控报告</w:t>
            </w:r>
          </w:p>
          <w:p>
            <w:pPr>
              <w:pStyle w:val="null3"/>
              <w:jc w:val="both"/>
            </w:pPr>
            <w:r>
              <w:rPr>
                <w:sz w:val="21"/>
              </w:rPr>
              <w:t>中标人每月</w:t>
            </w:r>
            <w:r>
              <w:rPr>
                <w:sz w:val="21"/>
              </w:rPr>
              <w:t>3日前应提交上月质控报告（如遇节假日可以延后至节假日后第一个工作日提交），内容包括水站名称、仪器配置、维护人员、已实施的质控措施、质控实施日期、各监测项目标准溶液浓度、质控结果说明、校准及维护措施数据有效率等。</w:t>
            </w:r>
          </w:p>
          <w:p>
            <w:pPr>
              <w:pStyle w:val="null3"/>
              <w:jc w:val="both"/>
            </w:pPr>
            <w:r>
              <w:rPr>
                <w:sz w:val="21"/>
              </w:rPr>
              <w:t>2.质量保证与质量控制</w:t>
            </w:r>
          </w:p>
          <w:p>
            <w:pPr>
              <w:pStyle w:val="null3"/>
              <w:jc w:val="both"/>
            </w:pPr>
            <w:r>
              <w:rPr>
                <w:sz w:val="21"/>
              </w:rPr>
              <w:t>（</w:t>
            </w:r>
            <w:r>
              <w:rPr>
                <w:sz w:val="21"/>
              </w:rPr>
              <w:t>1</w:t>
            </w:r>
            <w:r>
              <w:rPr>
                <w:sz w:val="21"/>
              </w:rPr>
              <w:t>）</w:t>
            </w:r>
            <w:r>
              <w:rPr>
                <w:sz w:val="21"/>
              </w:rPr>
              <w:t>总体目标</w:t>
            </w:r>
          </w:p>
          <w:p>
            <w:pPr>
              <w:pStyle w:val="null3"/>
              <w:jc w:val="both"/>
            </w:pPr>
            <w:r>
              <w:rPr>
                <w:sz w:val="21"/>
              </w:rPr>
              <w:t>建立由日质控、周核查、月质控等多级质控措施以及仪器关键参数上传、远程控制等组成的质控体系多维度管理模式，以保证地表水水质自动监测站数据有效率不低于</w:t>
            </w:r>
            <w:r>
              <w:rPr>
                <w:sz w:val="21"/>
              </w:rPr>
              <w:t>90</w:t>
            </w:r>
            <w:r>
              <w:rPr>
                <w:sz w:val="21"/>
              </w:rPr>
              <w:t>%。</w:t>
            </w:r>
          </w:p>
          <w:p>
            <w:pPr>
              <w:pStyle w:val="null3"/>
              <w:jc w:val="both"/>
            </w:pPr>
            <w:r>
              <w:rPr>
                <w:sz w:val="21"/>
              </w:rPr>
              <w:t>（</w:t>
            </w:r>
            <w:r>
              <w:rPr>
                <w:sz w:val="21"/>
              </w:rPr>
              <w:t>2</w:t>
            </w:r>
            <w:r>
              <w:rPr>
                <w:sz w:val="21"/>
              </w:rPr>
              <w:t>）</w:t>
            </w:r>
            <w:r>
              <w:rPr>
                <w:sz w:val="21"/>
              </w:rPr>
              <w:t>总体要求</w:t>
            </w:r>
          </w:p>
          <w:p>
            <w:pPr>
              <w:pStyle w:val="null3"/>
              <w:jc w:val="both"/>
            </w:pPr>
            <w:r>
              <w:rPr>
                <w:sz w:val="21"/>
              </w:rPr>
              <w:t>1</w:t>
            </w:r>
            <w:r>
              <w:rPr>
                <w:sz w:val="21"/>
              </w:rPr>
              <w:t>）</w:t>
            </w:r>
            <w:r>
              <w:rPr>
                <w:sz w:val="21"/>
              </w:rPr>
              <w:t>当监测项目水体浓度连续超出仪器当前跨度值时，应重新确定跨度，并进行标样核查；当监测项目水质类别发生变化且未超出当前跨度值时，可继续使用当前跨度；</w:t>
            </w:r>
          </w:p>
          <w:p>
            <w:pPr>
              <w:pStyle w:val="null3"/>
              <w:jc w:val="both"/>
            </w:pPr>
            <w:r>
              <w:rPr>
                <w:sz w:val="21"/>
              </w:rPr>
              <w:t>2</w:t>
            </w:r>
            <w:r>
              <w:rPr>
                <w:sz w:val="21"/>
              </w:rPr>
              <w:t>）</w:t>
            </w:r>
            <w:r>
              <w:rPr>
                <w:sz w:val="21"/>
              </w:rPr>
              <w:t>当监测项目上一个月</w:t>
            </w:r>
            <w:r>
              <w:rPr>
                <w:sz w:val="21"/>
              </w:rPr>
              <w:t>20</w:t>
            </w:r>
            <w:r>
              <w:rPr>
                <w:sz w:val="21"/>
              </w:rPr>
              <w:t>天以上为Ⅰ</w:t>
            </w:r>
            <w:r>
              <w:rPr>
                <w:sz w:val="21"/>
              </w:rPr>
              <w:t>~</w:t>
            </w:r>
            <w:r>
              <w:rPr>
                <w:sz w:val="21"/>
              </w:rPr>
              <w:t>Ⅱ类时，质控措施应按照Ⅰ</w:t>
            </w:r>
            <w:r>
              <w:rPr>
                <w:sz w:val="21"/>
              </w:rPr>
              <w:t>~</w:t>
            </w:r>
            <w:r>
              <w:rPr>
                <w:sz w:val="21"/>
              </w:rPr>
              <w:t>Ⅱ类水体的质控要求进行，否则质控措施应按照Ⅲ</w:t>
            </w:r>
            <w:r>
              <w:rPr>
                <w:sz w:val="21"/>
              </w:rPr>
              <w:t>~</w:t>
            </w:r>
            <w:r>
              <w:rPr>
                <w:sz w:val="21"/>
              </w:rPr>
              <w:t>劣Ⅴ类水体的质控要求进行；</w:t>
            </w:r>
          </w:p>
          <w:p>
            <w:pPr>
              <w:pStyle w:val="null3"/>
              <w:jc w:val="both"/>
            </w:pPr>
            <w:r>
              <w:rPr>
                <w:sz w:val="21"/>
              </w:rPr>
              <w:t>3</w:t>
            </w:r>
            <w:r>
              <w:rPr>
                <w:sz w:val="21"/>
              </w:rPr>
              <w:t>）</w:t>
            </w:r>
            <w:r>
              <w:rPr>
                <w:sz w:val="21"/>
              </w:rPr>
              <w:t>高锰酸盐指数、氨氮、总磷、总氮水质自动监测仪器每</w:t>
            </w:r>
            <w:r>
              <w:rPr>
                <w:sz w:val="21"/>
              </w:rPr>
              <w:t>24h</w:t>
            </w:r>
            <w:r>
              <w:rPr>
                <w:sz w:val="21"/>
              </w:rPr>
              <w:t>应至少开展一次期间自动标样核查，自动标样核查包括低、高</w:t>
            </w:r>
            <w:r>
              <w:rPr>
                <w:sz w:val="21"/>
              </w:rPr>
              <w:t>2</w:t>
            </w:r>
            <w:r>
              <w:rPr>
                <w:sz w:val="21"/>
              </w:rPr>
              <w:t>个浓度，每个浓度各测试一次，核查性能指标应满足表</w:t>
            </w:r>
            <w:r>
              <w:rPr>
                <w:sz w:val="21"/>
              </w:rPr>
              <w:t>2</w:t>
            </w:r>
            <w:r>
              <w:rPr>
                <w:sz w:val="21"/>
              </w:rPr>
              <w:t>的要求。应根据</w:t>
            </w:r>
            <w:r>
              <w:rPr>
                <w:sz w:val="21"/>
              </w:rPr>
              <w:t>GB3838</w:t>
            </w:r>
            <w:r>
              <w:rPr>
                <w:sz w:val="21"/>
              </w:rPr>
              <w:t>中监测项目水质类别限值选择合适的标准溶液浓度，设置自动标样核查的上限值，具体要求如下：</w:t>
            </w:r>
          </w:p>
          <w:p>
            <w:pPr>
              <w:pStyle w:val="null3"/>
              <w:jc w:val="both"/>
            </w:pPr>
            <w:r>
              <w:rPr>
                <w:sz w:val="21"/>
              </w:rPr>
              <w:t>a</w:t>
            </w:r>
            <w:r>
              <w:rPr>
                <w:sz w:val="21"/>
              </w:rPr>
              <w:t>）监测项目对应的水质类别为Ⅰ</w:t>
            </w:r>
            <w:r>
              <w:rPr>
                <w:sz w:val="21"/>
              </w:rPr>
              <w:t>~</w:t>
            </w:r>
            <w:r>
              <w:rPr>
                <w:sz w:val="21"/>
              </w:rPr>
              <w:t>Ⅱ类时，通常设置为Ⅱ类水质标准限值的</w:t>
            </w:r>
            <w:r>
              <w:rPr>
                <w:sz w:val="21"/>
              </w:rPr>
              <w:t>2</w:t>
            </w:r>
            <w:r>
              <w:rPr>
                <w:sz w:val="21"/>
              </w:rPr>
              <w:t>倍；</w:t>
            </w:r>
          </w:p>
          <w:p>
            <w:pPr>
              <w:pStyle w:val="null3"/>
              <w:jc w:val="both"/>
            </w:pPr>
            <w:r>
              <w:rPr>
                <w:sz w:val="21"/>
              </w:rPr>
              <w:t>b</w:t>
            </w:r>
            <w:r>
              <w:rPr>
                <w:sz w:val="21"/>
              </w:rPr>
              <w:t>）监测项目对应的水质类别为Ⅲ</w:t>
            </w:r>
            <w:r>
              <w:rPr>
                <w:sz w:val="21"/>
              </w:rPr>
              <w:t>~</w:t>
            </w:r>
            <w:r>
              <w:rPr>
                <w:sz w:val="21"/>
              </w:rPr>
              <w:t>Ⅴ类时，通常设置为水质类别标准限值的</w:t>
            </w:r>
            <w:r>
              <w:rPr>
                <w:sz w:val="21"/>
              </w:rPr>
              <w:t>2</w:t>
            </w:r>
            <w:r>
              <w:rPr>
                <w:sz w:val="21"/>
              </w:rPr>
              <w:t>倍；</w:t>
            </w:r>
          </w:p>
          <w:p>
            <w:pPr>
              <w:pStyle w:val="null3"/>
              <w:jc w:val="both"/>
            </w:pPr>
            <w:r>
              <w:rPr>
                <w:sz w:val="21"/>
              </w:rPr>
              <w:t>c</w:t>
            </w:r>
            <w:r>
              <w:rPr>
                <w:sz w:val="21"/>
              </w:rPr>
              <w:t>）总磷（湖、库）Ⅰ</w:t>
            </w:r>
            <w:r>
              <w:rPr>
                <w:sz w:val="21"/>
              </w:rPr>
              <w:t>~</w:t>
            </w:r>
            <w:r>
              <w:rPr>
                <w:sz w:val="21"/>
              </w:rPr>
              <w:t>Ⅱ时通常设置为</w:t>
            </w:r>
            <w:r>
              <w:rPr>
                <w:sz w:val="21"/>
              </w:rPr>
              <w:t>0.2mg/L</w:t>
            </w:r>
            <w:r>
              <w:rPr>
                <w:sz w:val="21"/>
              </w:rPr>
              <w:t>；</w:t>
            </w:r>
          </w:p>
          <w:p>
            <w:pPr>
              <w:pStyle w:val="null3"/>
              <w:jc w:val="both"/>
            </w:pPr>
            <w:r>
              <w:rPr>
                <w:sz w:val="21"/>
              </w:rPr>
              <w:t>d</w:t>
            </w:r>
            <w:r>
              <w:rPr>
                <w:sz w:val="21"/>
              </w:rPr>
              <w:t>）监测项目无水质标准限值或对应的水质类别为劣Ⅴ类水时，通常设置为该监测项目前</w:t>
            </w:r>
            <w:r>
              <w:rPr>
                <w:sz w:val="21"/>
              </w:rPr>
              <w:t>7</w:t>
            </w:r>
            <w:r>
              <w:rPr>
                <w:sz w:val="21"/>
              </w:rPr>
              <w:t>日水质测定均值的</w:t>
            </w:r>
            <w:r>
              <w:rPr>
                <w:sz w:val="21"/>
              </w:rPr>
              <w:t>2</w:t>
            </w:r>
            <w:r>
              <w:rPr>
                <w:sz w:val="21"/>
              </w:rPr>
              <w:t>倍。</w:t>
            </w:r>
          </w:p>
          <w:p>
            <w:pPr>
              <w:pStyle w:val="null3"/>
              <w:jc w:val="both"/>
            </w:pPr>
            <w:r>
              <w:rPr>
                <w:sz w:val="21"/>
              </w:rPr>
              <w:t>4</w:t>
            </w:r>
            <w:r>
              <w:rPr>
                <w:sz w:val="21"/>
              </w:rPr>
              <w:t>）水样测试和标样核查应使用同一量程或设置为同一稀释流程（稀释倍数）</w:t>
            </w:r>
            <w:r>
              <w:rPr>
                <w:sz w:val="21"/>
              </w:rPr>
              <w:t>；</w:t>
            </w:r>
          </w:p>
          <w:p>
            <w:pPr>
              <w:pStyle w:val="null3"/>
              <w:jc w:val="both"/>
            </w:pPr>
            <w:r>
              <w:rPr>
                <w:sz w:val="21"/>
              </w:rPr>
              <w:t>4</w:t>
            </w:r>
            <w:r>
              <w:rPr>
                <w:sz w:val="21"/>
              </w:rPr>
              <w:t>）</w:t>
            </w:r>
            <w:r>
              <w:rPr>
                <w:sz w:val="21"/>
              </w:rPr>
              <w:t>水站原则上应连续运行，因电力故障、采水故障、水位过低、自然断流等不可抗力因素导致停运的，应及时报告</w:t>
            </w:r>
            <w:r>
              <w:rPr>
                <w:sz w:val="21"/>
              </w:rPr>
              <w:t>；</w:t>
            </w:r>
          </w:p>
          <w:p>
            <w:pPr>
              <w:pStyle w:val="null3"/>
              <w:jc w:val="both"/>
            </w:pPr>
            <w:r>
              <w:rPr>
                <w:sz w:val="21"/>
              </w:rPr>
              <w:t>5</w:t>
            </w:r>
            <w:r>
              <w:rPr>
                <w:sz w:val="21"/>
              </w:rPr>
              <w:t>）</w:t>
            </w:r>
            <w:r>
              <w:rPr>
                <w:sz w:val="21"/>
              </w:rPr>
              <w:t>每周进行的质控措施，与前一次间隔时间不得小于4天；每月开展的质控措施，与前一次间隔时间不得小于15天；</w:t>
            </w:r>
          </w:p>
          <w:p>
            <w:pPr>
              <w:pStyle w:val="null3"/>
              <w:jc w:val="both"/>
            </w:pPr>
            <w:r>
              <w:rPr>
                <w:sz w:val="21"/>
              </w:rPr>
              <w:t>6</w:t>
            </w:r>
            <w:r>
              <w:rPr>
                <w:sz w:val="21"/>
              </w:rPr>
              <w:t>）</w:t>
            </w:r>
            <w:r>
              <w:rPr>
                <w:sz w:val="21"/>
              </w:rPr>
              <w:t>所有维护及质控测试均应形成记录。</w:t>
            </w:r>
          </w:p>
          <w:p>
            <w:pPr>
              <w:pStyle w:val="null3"/>
              <w:jc w:val="both"/>
            </w:pPr>
            <w:r>
              <w:rPr>
                <w:sz w:val="21"/>
              </w:rPr>
              <w:t>（</w:t>
            </w:r>
            <w:r>
              <w:rPr>
                <w:sz w:val="21"/>
              </w:rPr>
              <w:t>3</w:t>
            </w:r>
            <w:r>
              <w:rPr>
                <w:sz w:val="21"/>
              </w:rPr>
              <w:t>）</w:t>
            </w:r>
            <w:r>
              <w:rPr>
                <w:sz w:val="21"/>
              </w:rPr>
              <w:t>质量保证与质量控制措施及实施</w:t>
            </w:r>
          </w:p>
          <w:p>
            <w:pPr>
              <w:pStyle w:val="null3"/>
              <w:jc w:val="both"/>
            </w:pPr>
            <w:r>
              <w:rPr>
                <w:sz w:val="21"/>
              </w:rPr>
              <w:t>1</w:t>
            </w:r>
            <w:r>
              <w:rPr>
                <w:sz w:val="21"/>
              </w:rPr>
              <w:t>）</w:t>
            </w:r>
            <w:r>
              <w:rPr>
                <w:sz w:val="21"/>
              </w:rPr>
              <w:t>质量保证与质量控制实施要求</w:t>
            </w:r>
          </w:p>
          <w:p>
            <w:pPr>
              <w:pStyle w:val="null3"/>
              <w:jc w:val="both"/>
            </w:pPr>
            <w:r>
              <w:rPr>
                <w:sz w:val="21"/>
              </w:rPr>
              <w:t>水站应按照表</w:t>
            </w:r>
            <w:r>
              <w:rPr>
                <w:sz w:val="21"/>
              </w:rPr>
              <w:t>1</w:t>
            </w:r>
            <w:r>
              <w:rPr>
                <w:sz w:val="21"/>
              </w:rPr>
              <w:t>规定的质控项目开展水站质控措施，实施频次应不低于表</w:t>
            </w:r>
            <w:r>
              <w:rPr>
                <w:sz w:val="21"/>
              </w:rPr>
              <w:t>1</w:t>
            </w:r>
            <w:r>
              <w:rPr>
                <w:sz w:val="21"/>
              </w:rPr>
              <w:t>规定。</w:t>
            </w:r>
          </w:p>
          <w:p>
            <w:pPr>
              <w:pStyle w:val="null3"/>
              <w:jc w:val="both"/>
            </w:pPr>
            <w:r>
              <w:rPr>
                <w:sz w:val="21"/>
              </w:rPr>
              <w:t>①　针对所有水站，氨氮、高锰酸盐指数、总磷</w:t>
            </w:r>
            <w:r>
              <w:rPr>
                <w:sz w:val="21"/>
              </w:rPr>
              <w:t>、</w:t>
            </w:r>
            <w:r>
              <w:rPr>
                <w:sz w:val="21"/>
              </w:rPr>
              <w:t>总氮自动监测仪器</w:t>
            </w:r>
            <w:r>
              <w:rPr>
                <w:sz w:val="21"/>
              </w:rPr>
              <w:t>应每</w:t>
            </w:r>
            <w:r>
              <w:rPr>
                <w:sz w:val="21"/>
              </w:rPr>
              <w:t>24</w:t>
            </w:r>
            <w:r>
              <w:rPr>
                <w:sz w:val="21"/>
              </w:rPr>
              <w:t>小时至少进行</w:t>
            </w:r>
            <w:r>
              <w:rPr>
                <w:sz w:val="21"/>
              </w:rPr>
              <w:t>1</w:t>
            </w:r>
            <w:r>
              <w:rPr>
                <w:sz w:val="21"/>
              </w:rPr>
              <w:t>次</w:t>
            </w:r>
            <w:r>
              <w:rPr>
                <w:sz w:val="21"/>
              </w:rPr>
              <w:t>低浓度</w:t>
            </w:r>
            <w:r>
              <w:rPr>
                <w:sz w:val="21"/>
              </w:rPr>
              <w:t>核查和</w:t>
            </w:r>
            <w:r>
              <w:rPr>
                <w:sz w:val="21"/>
              </w:rPr>
              <w:t>高浓度标样</w:t>
            </w:r>
            <w:r>
              <w:rPr>
                <w:sz w:val="21"/>
              </w:rPr>
              <w:t>核查；</w:t>
            </w:r>
          </w:p>
          <w:p>
            <w:pPr>
              <w:pStyle w:val="null3"/>
              <w:jc w:val="both"/>
            </w:pPr>
            <w:r>
              <w:rPr>
                <w:sz w:val="21"/>
              </w:rPr>
              <w:t>②　</w:t>
            </w:r>
            <w:r>
              <w:rPr>
                <w:sz w:val="21"/>
              </w:rPr>
              <w:t>常规五参数水质自动监测仪器</w:t>
            </w:r>
            <w:r>
              <w:rPr>
                <w:sz w:val="21"/>
              </w:rPr>
              <w:t>每周</w:t>
            </w:r>
            <w:r>
              <w:rPr>
                <w:sz w:val="21"/>
              </w:rPr>
              <w:t>至少</w:t>
            </w:r>
            <w:r>
              <w:rPr>
                <w:sz w:val="21"/>
              </w:rPr>
              <w:t>进行一次标样核查</w:t>
            </w:r>
            <w:r>
              <w:rPr>
                <w:sz w:val="21"/>
              </w:rPr>
              <w:t>；</w:t>
            </w:r>
            <w:r>
              <w:rPr>
                <w:sz w:val="21"/>
              </w:rPr>
              <w:t>无需频次加密时，</w:t>
            </w:r>
            <w:r>
              <w:rPr>
                <w:sz w:val="21"/>
              </w:rPr>
              <w:t>2</w:t>
            </w:r>
            <w:r>
              <w:rPr>
                <w:sz w:val="21"/>
              </w:rPr>
              <w:t>次标样核查的间隔时间不得少于</w:t>
            </w:r>
            <w:r>
              <w:rPr>
                <w:sz w:val="21"/>
              </w:rPr>
              <w:t>4</w:t>
            </w:r>
            <w:r>
              <w:rPr>
                <w:sz w:val="21"/>
              </w:rPr>
              <w:t>天；</w:t>
            </w:r>
          </w:p>
          <w:p>
            <w:pPr>
              <w:pStyle w:val="null3"/>
              <w:jc w:val="both"/>
            </w:pPr>
            <w:r>
              <w:rPr>
                <w:sz w:val="21"/>
              </w:rPr>
              <w:t>③  高锰酸盐指数、氨氮、总磷、总氮水质自动监测仪器每月至少开展</w:t>
            </w:r>
            <w:r>
              <w:rPr>
                <w:sz w:val="21"/>
              </w:rPr>
              <w:t>1</w:t>
            </w:r>
            <w:r>
              <w:rPr>
                <w:sz w:val="21"/>
              </w:rPr>
              <w:t>次多点线性核查；</w:t>
            </w:r>
          </w:p>
          <w:p>
            <w:pPr>
              <w:pStyle w:val="null3"/>
              <w:jc w:val="both"/>
            </w:pPr>
            <w:r>
              <w:rPr>
                <w:sz w:val="21"/>
              </w:rPr>
              <w:t xml:space="preserve">④  </w:t>
            </w:r>
            <w:r>
              <w:rPr>
                <w:sz w:val="21"/>
              </w:rPr>
              <w:t>针对</w:t>
            </w:r>
            <w:r>
              <w:rPr>
                <w:sz w:val="21"/>
              </w:rPr>
              <w:t>测试评价结果为</w:t>
            </w:r>
            <w:r>
              <w:rPr>
                <w:sz w:val="21"/>
              </w:rPr>
              <w:t>Ⅲ</w:t>
            </w:r>
            <w:r>
              <w:rPr>
                <w:sz w:val="21"/>
              </w:rPr>
              <w:t>~</w:t>
            </w:r>
            <w:r>
              <w:rPr>
                <w:sz w:val="21"/>
              </w:rPr>
              <w:t>劣Ⅴ类水体，高锰酸盐指数、</w:t>
            </w:r>
            <w:r>
              <w:rPr>
                <w:sz w:val="21"/>
              </w:rPr>
              <w:t>氨氮、</w:t>
            </w:r>
            <w:r>
              <w:rPr>
                <w:sz w:val="21"/>
              </w:rPr>
              <w:t>总磷</w:t>
            </w:r>
            <w:r>
              <w:rPr>
                <w:sz w:val="21"/>
              </w:rPr>
              <w:t>、</w:t>
            </w:r>
            <w:r>
              <w:rPr>
                <w:sz w:val="21"/>
              </w:rPr>
              <w:t>总氮水质自动监测仪器</w:t>
            </w:r>
            <w:r>
              <w:rPr>
                <w:sz w:val="21"/>
              </w:rPr>
              <w:t>每月至少</w:t>
            </w:r>
            <w:r>
              <w:rPr>
                <w:sz w:val="21"/>
              </w:rPr>
              <w:t>开展</w:t>
            </w:r>
            <w:r>
              <w:rPr>
                <w:sz w:val="21"/>
              </w:rPr>
              <w:t>1</w:t>
            </w:r>
            <w:r>
              <w:rPr>
                <w:sz w:val="21"/>
              </w:rPr>
              <w:t>次集成</w:t>
            </w:r>
            <w:r>
              <w:rPr>
                <w:sz w:val="21"/>
              </w:rPr>
              <w:t>影响</w:t>
            </w:r>
            <w:r>
              <w:rPr>
                <w:sz w:val="21"/>
              </w:rPr>
              <w:t>检查</w:t>
            </w:r>
            <w:r>
              <w:rPr>
                <w:sz w:val="21"/>
              </w:rPr>
              <w:t>，</w:t>
            </w:r>
            <w:r>
              <w:rPr>
                <w:sz w:val="21"/>
              </w:rPr>
              <w:t>测试采水单元、预处理单元和配水单元对水质测试结果的影响，其中</w:t>
            </w:r>
            <w:r>
              <w:rPr>
                <w:sz w:val="21"/>
              </w:rPr>
              <w:t>浊度大于</w:t>
            </w:r>
            <w:r>
              <w:rPr>
                <w:sz w:val="21"/>
              </w:rPr>
              <w:t>1000NTU</w:t>
            </w:r>
            <w:r>
              <w:rPr>
                <w:sz w:val="21"/>
              </w:rPr>
              <w:t>时</w:t>
            </w:r>
            <w:r>
              <w:rPr>
                <w:sz w:val="21"/>
              </w:rPr>
              <w:t>可不</w:t>
            </w:r>
            <w:r>
              <w:rPr>
                <w:sz w:val="21"/>
              </w:rPr>
              <w:t>开展</w:t>
            </w:r>
            <w:r>
              <w:rPr>
                <w:sz w:val="21"/>
              </w:rPr>
              <w:t>集成干预检查；</w:t>
            </w:r>
          </w:p>
          <w:p>
            <w:pPr>
              <w:pStyle w:val="null3"/>
              <w:jc w:val="both"/>
            </w:pPr>
            <w:r>
              <w:rPr>
                <w:sz w:val="21"/>
              </w:rPr>
              <w:t>⑤</w:t>
            </w:r>
            <w:r>
              <w:rPr>
                <w:sz w:val="21"/>
              </w:rPr>
              <w:t>　针对</w:t>
            </w:r>
            <w:r>
              <w:rPr>
                <w:sz w:val="21"/>
              </w:rPr>
              <w:t>测试评价结果为</w:t>
            </w:r>
            <w:r>
              <w:rPr>
                <w:sz w:val="21"/>
              </w:rPr>
              <w:t>Ⅲ</w:t>
            </w:r>
            <w:r>
              <w:rPr>
                <w:sz w:val="21"/>
              </w:rPr>
              <w:t>~</w:t>
            </w:r>
            <w:r>
              <w:rPr>
                <w:sz w:val="21"/>
              </w:rPr>
              <w:t>劣Ⅴ类水体，高锰酸盐指数、</w:t>
            </w:r>
            <w:r>
              <w:rPr>
                <w:sz w:val="21"/>
              </w:rPr>
              <w:t>氨氮、</w:t>
            </w:r>
            <w:r>
              <w:rPr>
                <w:sz w:val="21"/>
              </w:rPr>
              <w:t>总磷</w:t>
            </w:r>
            <w:r>
              <w:rPr>
                <w:sz w:val="21"/>
              </w:rPr>
              <w:t>、</w:t>
            </w:r>
            <w:r>
              <w:rPr>
                <w:sz w:val="21"/>
              </w:rPr>
              <w:t>总氮水质自动监测仪器每月至少开展</w:t>
            </w:r>
            <w:r>
              <w:rPr>
                <w:sz w:val="21"/>
              </w:rPr>
              <w:t>1</w:t>
            </w:r>
            <w:r>
              <w:rPr>
                <w:sz w:val="21"/>
              </w:rPr>
              <w:t>次加标回收率测试；</w:t>
            </w:r>
          </w:p>
          <w:p>
            <w:pPr>
              <w:pStyle w:val="null3"/>
              <w:jc w:val="both"/>
            </w:pPr>
            <w:r>
              <w:rPr>
                <w:sz w:val="21"/>
              </w:rPr>
              <w:t>⑥  每季度至少开展</w:t>
            </w:r>
            <w:r>
              <w:rPr>
                <w:sz w:val="21"/>
              </w:rPr>
              <w:t>1</w:t>
            </w:r>
            <w:r>
              <w:rPr>
                <w:sz w:val="21"/>
              </w:rPr>
              <w:t>次实际水样比对，当水质类别发生变化时，可根据需求调整实施频次；</w:t>
            </w:r>
          </w:p>
          <w:p>
            <w:pPr>
              <w:pStyle w:val="null3"/>
              <w:jc w:val="both"/>
            </w:pPr>
            <w:r>
              <w:rPr>
                <w:sz w:val="21"/>
              </w:rPr>
              <w:t>⑦  仪器具备自动质控功能的，多点线性核查、加标回收测试等质控措施可采用自动方式开展；</w:t>
            </w:r>
          </w:p>
          <w:p>
            <w:pPr>
              <w:pStyle w:val="null3"/>
              <w:jc w:val="both"/>
            </w:pPr>
            <w:r>
              <w:rPr>
                <w:sz w:val="21"/>
              </w:rPr>
              <w:t>表</w:t>
            </w:r>
            <w:r>
              <w:rPr>
                <w:sz w:val="21"/>
              </w:rPr>
              <w:t>1</w:t>
            </w:r>
            <w:r>
              <w:rPr>
                <w:sz w:val="21"/>
              </w:rPr>
              <w:t>质控措施及实施频次</w:t>
            </w:r>
          </w:p>
          <w:tbl>
            <w:tblPr>
              <w:tblInd w:type="dxa" w:w="120"/>
              <w:tblBorders>
                <w:top w:val="none" w:color="000000" w:sz="4"/>
                <w:left w:val="none" w:color="000000" w:sz="4"/>
                <w:bottom w:val="none" w:color="000000" w:sz="4"/>
                <w:right w:val="none" w:color="000000" w:sz="4"/>
                <w:insideH w:val="none"/>
                <w:insideV w:val="none"/>
              </w:tblBorders>
            </w:tblPr>
            <w:tblGrid>
              <w:gridCol w:w="1125"/>
              <w:gridCol w:w="795"/>
              <w:gridCol w:w="825"/>
              <w:gridCol w:w="960"/>
              <w:gridCol w:w="1785"/>
            </w:tblGrid>
            <w:tr>
              <w:tc>
                <w:tcPr>
                  <w:tcW w:type="dxa" w:w="11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质控措施</w:t>
                  </w:r>
                </w:p>
              </w:tc>
              <w:tc>
                <w:tcPr>
                  <w:tcW w:type="dxa" w:w="162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水质类别</w:t>
                  </w:r>
                </w:p>
              </w:tc>
              <w:tc>
                <w:tcPr>
                  <w:tcW w:type="dxa" w:w="9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质控频次</w:t>
                  </w:r>
                </w:p>
              </w:tc>
              <w:tc>
                <w:tcPr>
                  <w:tcW w:type="dxa" w:w="17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实施对象</w:t>
                  </w:r>
                </w:p>
              </w:tc>
            </w:tr>
            <w:tr>
              <w:tc>
                <w:tcPr>
                  <w:tcW w:type="dxa" w:w="1125"/>
                  <w:vMerge/>
                  <w:tcBorders>
                    <w:top w:val="singl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Ⅰ</w:t>
                  </w:r>
                  <w:r>
                    <w:rPr>
                      <w:sz w:val="21"/>
                      <w:b/>
                    </w:rPr>
                    <w:t>~</w:t>
                  </w:r>
                  <w:r>
                    <w:rPr>
                      <w:sz w:val="21"/>
                      <w:b/>
                    </w:rPr>
                    <w:t>Ⅱ类水体</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Ⅲ</w:t>
                  </w:r>
                  <w:r>
                    <w:rPr>
                      <w:sz w:val="21"/>
                      <w:b/>
                    </w:rPr>
                    <w:t>~</w:t>
                  </w:r>
                  <w:r>
                    <w:rPr>
                      <w:sz w:val="21"/>
                      <w:b/>
                    </w:rPr>
                    <w:t>劣Ⅴ类水体</w:t>
                  </w:r>
                </w:p>
              </w:tc>
              <w:tc>
                <w:tcPr>
                  <w:tcW w:type="dxa" w:w="960"/>
                  <w:vMerge/>
                  <w:tcBorders>
                    <w:top w:val="single" w:color="000000" w:sz="4"/>
                    <w:left w:val="none" w:color="000000" w:sz="4"/>
                    <w:bottom w:val="single" w:color="000000" w:sz="4"/>
                    <w:right w:val="single" w:color="000000" w:sz="4"/>
                  </w:tcBorders>
                </w:tcPr>
                <w:p/>
              </w:tc>
              <w:tc>
                <w:tcPr>
                  <w:tcW w:type="dxa" w:w="1785"/>
                  <w:vMerge/>
                  <w:tcBorders>
                    <w:top w:val="single" w:color="000000" w:sz="4"/>
                    <w:left w:val="none" w:color="000000" w:sz="4"/>
                    <w:bottom w:val="single" w:color="000000" w:sz="4"/>
                    <w:right w:val="single" w:color="000000" w:sz="4"/>
                  </w:tcBorders>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低浓度样品</w:t>
                  </w:r>
                  <w:r>
                    <w:rPr>
                      <w:sz w:val="21"/>
                    </w:rPr>
                    <w:t>核查</w:t>
                  </w:r>
                  <w:r>
                    <w:rPr>
                      <w:sz w:val="21"/>
                    </w:rPr>
                    <w:t>/</w:t>
                  </w:r>
                  <w:r>
                    <w:rPr>
                      <w:sz w:val="21"/>
                    </w:rPr>
                    <w:t>低浓度漂移</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/24h</w:t>
                  </w:r>
                </w:p>
              </w:tc>
              <w:tc>
                <w:tcPr>
                  <w:tcW w:type="dxa" w:w="178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高浓度样品</w:t>
                  </w:r>
                  <w:r>
                    <w:rPr>
                      <w:sz w:val="21"/>
                    </w:rPr>
                    <w:t>核查</w:t>
                  </w:r>
                  <w:r>
                    <w:rPr>
                      <w:sz w:val="21"/>
                    </w:rPr>
                    <w:t>/</w:t>
                  </w:r>
                  <w:r>
                    <w:rPr>
                      <w:sz w:val="21"/>
                    </w:rPr>
                    <w:t>高浓度漂移</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/24h</w:t>
                  </w:r>
                </w:p>
              </w:tc>
              <w:tc>
                <w:tcPr>
                  <w:tcW w:type="dxa" w:w="1785"/>
                  <w:vMerge/>
                  <w:tcBorders>
                    <w:top w:val="none" w:color="000000" w:sz="4"/>
                    <w:left w:val="none" w:color="000000" w:sz="4"/>
                    <w:bottom w:val="none" w:color="000000" w:sz="4"/>
                    <w:right w:val="single" w:color="000000" w:sz="4"/>
                  </w:tcBorders>
                </w:tc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标样核查</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/7d</w:t>
                  </w:r>
                </w:p>
                <w:p>
                  <w:pPr>
                    <w:pStyle w:val="null3"/>
                    <w:jc w:val="center"/>
                  </w:pP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r>
                    <w:rPr>
                      <w:sz w:val="21"/>
                    </w:rPr>
                    <w:t>、溶解氧、电导率、浊度</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多点线性核查</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p>
                  <w:pPr>
                    <w:pStyle w:val="null3"/>
                    <w:jc w:val="center"/>
                  </w:pP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季度</w:t>
                  </w:r>
                </w:p>
                <w:p>
                  <w:pPr>
                    <w:pStyle w:val="null3"/>
                    <w:jc w:val="center"/>
                  </w:pP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常规五参数、氨氮、高锰酸盐指数、总磷</w:t>
                  </w:r>
                  <w:r>
                    <w:rPr>
                      <w:sz w:val="21"/>
                    </w:rPr>
                    <w:t>、</w:t>
                  </w:r>
                  <w:r>
                    <w:rPr>
                      <w:sz w:val="21"/>
                    </w:rPr>
                    <w:t>总氮</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w:t>
                  </w:r>
                  <w:r>
                    <w:rPr>
                      <w:sz w:val="21"/>
                    </w:rPr>
                    <w:t>影响检查</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p>
                  <w:pPr>
                    <w:pStyle w:val="null3"/>
                    <w:jc w:val="center"/>
                  </w:pPr>
                </w:p>
              </w:tc>
              <w:tc>
                <w:tcPr>
                  <w:tcW w:type="dxa" w:w="17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加标回收率自动测试</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p>
                  <w:pPr>
                    <w:pStyle w:val="null3"/>
                    <w:jc w:val="center"/>
                  </w:pPr>
                </w:p>
              </w:tc>
              <w:tc>
                <w:tcPr>
                  <w:tcW w:type="dxa" w:w="1785"/>
                  <w:vMerge/>
                  <w:tcBorders>
                    <w:top w:val="none" w:color="000000" w:sz="4"/>
                    <w:left w:val="none" w:color="000000" w:sz="4"/>
                    <w:bottom w:val="single" w:color="000000" w:sz="4"/>
                    <w:right w:val="single" w:color="000000" w:sz="4"/>
                  </w:tcBorders>
                </w:tcPr>
                <w:p/>
              </w:tc>
            </w:tr>
          </w:tbl>
          <w:p>
            <w:pPr>
              <w:pStyle w:val="null3"/>
            </w:pPr>
            <w:r>
              <w:rPr/>
              <w:t xml:space="preserve"> </w:t>
            </w:r>
          </w:p>
          <w:p>
            <w:pPr>
              <w:pStyle w:val="null3"/>
              <w:jc w:val="both"/>
            </w:pPr>
            <w:r>
              <w:rPr>
                <w:sz w:val="21"/>
              </w:rPr>
              <w:t>2</w:t>
            </w:r>
            <w:r>
              <w:rPr>
                <w:sz w:val="21"/>
              </w:rPr>
              <w:t>）</w:t>
            </w:r>
            <w:r>
              <w:rPr>
                <w:sz w:val="21"/>
              </w:rPr>
              <w:t>维护后质控措施实施要求</w:t>
            </w:r>
          </w:p>
          <w:p>
            <w:pPr>
              <w:pStyle w:val="null3"/>
              <w:jc w:val="both"/>
            </w:pPr>
            <w:r>
              <w:rPr>
                <w:sz w:val="21"/>
              </w:rPr>
              <w:t>①　更换试剂（清洗水除外）后，应进行校准；</w:t>
            </w:r>
          </w:p>
          <w:p>
            <w:pPr>
              <w:pStyle w:val="null3"/>
              <w:jc w:val="both"/>
            </w:pPr>
            <w:r>
              <w:rPr>
                <w:sz w:val="21"/>
              </w:rPr>
              <w:t>②　当监测仪器关键部件更换后，应进行多点线性核查，必要时应开展实际水样比对；</w:t>
            </w:r>
          </w:p>
          <w:p>
            <w:pPr>
              <w:pStyle w:val="null3"/>
              <w:jc w:val="both"/>
            </w:pPr>
            <w:r>
              <w:rPr>
                <w:sz w:val="21"/>
              </w:rPr>
              <w:t>③　当监测仪器长时间停机恢复运行时应进行多点线性核查和集成干预检查。</w:t>
            </w:r>
          </w:p>
          <w:p>
            <w:pPr>
              <w:pStyle w:val="null3"/>
              <w:jc w:val="both"/>
            </w:pPr>
            <w:r>
              <w:rPr>
                <w:sz w:val="21"/>
              </w:rPr>
              <w:t>3</w:t>
            </w:r>
            <w:r>
              <w:rPr>
                <w:sz w:val="21"/>
              </w:rPr>
              <w:t>）其他</w:t>
            </w:r>
            <w:r>
              <w:rPr>
                <w:sz w:val="21"/>
              </w:rPr>
              <w:t>质控要求</w:t>
            </w:r>
          </w:p>
          <w:p>
            <w:pPr>
              <w:pStyle w:val="null3"/>
              <w:jc w:val="both"/>
            </w:pPr>
            <w:r>
              <w:rPr>
                <w:sz w:val="21"/>
              </w:rPr>
              <w:t>①</w:t>
            </w:r>
            <w:r>
              <w:rPr>
                <w:sz w:val="21"/>
              </w:rPr>
              <w:t>pH</w:t>
            </w:r>
            <w:r>
              <w:rPr>
                <w:sz w:val="21"/>
              </w:rPr>
              <w:t>、</w:t>
            </w:r>
            <w:r>
              <w:rPr>
                <w:sz w:val="21"/>
              </w:rPr>
              <w:t>溶解氧、电导率、浊度水质自动监测仪器使用标准溶液开展期间标样核查</w:t>
            </w:r>
            <w:r>
              <w:rPr>
                <w:sz w:val="21"/>
              </w:rPr>
              <w:t>；</w:t>
            </w:r>
          </w:p>
          <w:p>
            <w:pPr>
              <w:pStyle w:val="null3"/>
              <w:jc w:val="both"/>
            </w:pPr>
            <w:r>
              <w:rPr>
                <w:sz w:val="21"/>
              </w:rPr>
              <w:t>②溶解氧</w:t>
            </w:r>
            <w:r>
              <w:rPr>
                <w:sz w:val="21"/>
              </w:rPr>
              <w:t>每月采用空气中饱和溶解氧或无氧水核查，且每月至少涵盖一次空气中饱和溶解氧和无氧水核查</w:t>
            </w:r>
            <w:r>
              <w:rPr>
                <w:sz w:val="21"/>
              </w:rPr>
              <w:t>；</w:t>
            </w:r>
          </w:p>
          <w:p>
            <w:pPr>
              <w:pStyle w:val="null3"/>
              <w:jc w:val="both"/>
            </w:pPr>
            <w:r>
              <w:rPr>
                <w:sz w:val="21"/>
              </w:rPr>
              <w:t>③</w:t>
            </w:r>
            <w:r>
              <w:rPr>
                <w:sz w:val="21"/>
              </w:rPr>
              <w:t>pH</w:t>
            </w:r>
            <w:r>
              <w:rPr>
                <w:sz w:val="21"/>
              </w:rPr>
              <w:t>、</w:t>
            </w:r>
            <w:r>
              <w:rPr>
                <w:sz w:val="21"/>
              </w:rPr>
              <w:t>电导率和浊度每月应采用与监测断面水质监测项目</w:t>
            </w:r>
            <w:r>
              <w:rPr>
                <w:sz w:val="21"/>
              </w:rPr>
              <w:t>测定结果</w:t>
            </w:r>
            <w:r>
              <w:rPr>
                <w:sz w:val="21"/>
              </w:rPr>
              <w:t>相接近的标准溶液</w:t>
            </w:r>
            <w:r>
              <w:rPr>
                <w:sz w:val="21"/>
              </w:rPr>
              <w:t>开展核查，每月应至少更换</w:t>
            </w:r>
            <w:r>
              <w:rPr>
                <w:sz w:val="21"/>
              </w:rPr>
              <w:t>2</w:t>
            </w:r>
            <w:r>
              <w:rPr>
                <w:sz w:val="21"/>
              </w:rPr>
              <w:t>个不同标准值的标准溶液</w:t>
            </w:r>
            <w:r>
              <w:rPr>
                <w:sz w:val="21"/>
              </w:rPr>
              <w:t>；</w:t>
            </w:r>
          </w:p>
          <w:p>
            <w:pPr>
              <w:pStyle w:val="null3"/>
              <w:jc w:val="both"/>
            </w:pPr>
            <w:r>
              <w:rPr>
                <w:sz w:val="21"/>
              </w:rPr>
              <w:t>④　当水站相关质控测试结果接近质控要求限值时应及时进行预防性维护；</w:t>
            </w:r>
          </w:p>
          <w:p>
            <w:pPr>
              <w:pStyle w:val="null3"/>
              <w:jc w:val="both"/>
            </w:pPr>
            <w:r>
              <w:rPr>
                <w:sz w:val="21"/>
              </w:rPr>
              <w:t>⑤　多点线性核查未通过时，维护后应先</w:t>
            </w:r>
            <w:r>
              <w:rPr>
                <w:sz w:val="21"/>
              </w:rPr>
              <w:t>开展低浓度和高浓度的标样核查</w:t>
            </w:r>
            <w:r>
              <w:rPr>
                <w:sz w:val="21"/>
              </w:rPr>
              <w:t>，通过后再进行多点线性核查；</w:t>
            </w:r>
          </w:p>
          <w:p>
            <w:pPr>
              <w:pStyle w:val="null3"/>
              <w:jc w:val="both"/>
            </w:pPr>
            <w:r>
              <w:rPr>
                <w:sz w:val="21"/>
              </w:rPr>
              <w:t>⑥　集成干预检查、实际水样比对未通过时，应进一步排查原因，直至核查通过；</w:t>
            </w:r>
          </w:p>
          <w:p>
            <w:pPr>
              <w:pStyle w:val="null3"/>
              <w:jc w:val="both"/>
            </w:pPr>
            <w:r>
              <w:rPr>
                <w:sz w:val="21"/>
              </w:rPr>
              <w:t>⑦　</w:t>
            </w:r>
            <w:r>
              <w:rPr>
                <w:sz w:val="21"/>
              </w:rPr>
              <w:t>更换试剂（清洗用水、检查用标准样品除外）后，应至少使用两个不同浓度的校正液进行校正；当监测仪器关键部件更换后，应开展多点线性核查，必要时应开展实际水样比对；</w:t>
            </w:r>
          </w:p>
          <w:p>
            <w:pPr>
              <w:pStyle w:val="null3"/>
              <w:jc w:val="both"/>
            </w:pPr>
            <w:r>
              <w:rPr>
                <w:sz w:val="21"/>
              </w:rPr>
              <w:t>⑧ 停运后恢复到运行条件时应开展标样核查，并对监测数据进行分析，水质环比停运前变化较大的，还应进行实际水样比对；</w:t>
            </w:r>
          </w:p>
          <w:p>
            <w:pPr>
              <w:pStyle w:val="null3"/>
              <w:jc w:val="both"/>
            </w:pPr>
            <w:r>
              <w:rPr>
                <w:sz w:val="21"/>
              </w:rPr>
              <w:t>⑨ 所有质控测试均应形成记录；</w:t>
            </w:r>
          </w:p>
          <w:p>
            <w:pPr>
              <w:pStyle w:val="null3"/>
              <w:jc w:val="both"/>
            </w:pPr>
            <w:r>
              <w:rPr>
                <w:sz w:val="21"/>
              </w:rPr>
              <w:t xml:space="preserve">⑨ </w:t>
            </w:r>
            <w:r>
              <w:rPr>
                <w:sz w:val="21"/>
              </w:rPr>
              <w:t>每月对备机进行一次标样核查，标样核查结果应上传平台；</w:t>
            </w:r>
          </w:p>
          <w:p>
            <w:pPr>
              <w:pStyle w:val="null3"/>
              <w:jc w:val="both"/>
            </w:pPr>
            <w:r>
              <w:rPr>
                <w:sz w:val="21"/>
              </w:rPr>
              <w:t>⑩关键参数（斜率、截距、消解温度等能表征监测过程及对监测结果产生影响的参数）和运行日志（采样、分析、数据传输等能表征监测过程的记录）不得随意更改，如确需变更，应履行审核手续。</w:t>
            </w:r>
          </w:p>
          <w:p>
            <w:pPr>
              <w:pStyle w:val="null3"/>
              <w:jc w:val="both"/>
            </w:pPr>
            <w:r>
              <w:rPr>
                <w:sz w:val="21"/>
              </w:rPr>
              <w:t>⑪</w:t>
            </w:r>
            <w:r>
              <w:rPr>
                <w:sz w:val="21"/>
              </w:rPr>
              <w:t>　监测仪器不允许屏蔽负值；</w:t>
            </w:r>
          </w:p>
          <w:p>
            <w:pPr>
              <w:pStyle w:val="null3"/>
              <w:jc w:val="both"/>
            </w:pPr>
            <w:r>
              <w:rPr>
                <w:sz w:val="21"/>
              </w:rPr>
              <w:t>（</w:t>
            </w:r>
            <w:r>
              <w:rPr>
                <w:sz w:val="21"/>
              </w:rPr>
              <w:t>4</w:t>
            </w:r>
            <w:r>
              <w:rPr>
                <w:sz w:val="21"/>
              </w:rPr>
              <w:t>）</w:t>
            </w:r>
            <w:r>
              <w:rPr>
                <w:sz w:val="21"/>
              </w:rPr>
              <w:t>质控措施技术要求</w:t>
            </w:r>
          </w:p>
          <w:p>
            <w:pPr>
              <w:pStyle w:val="null3"/>
              <w:jc w:val="both"/>
            </w:pPr>
            <w:r>
              <w:rPr>
                <w:sz w:val="21"/>
              </w:rPr>
              <w:t>1</w:t>
            </w:r>
            <w:r>
              <w:rPr>
                <w:sz w:val="21"/>
              </w:rPr>
              <w:t>）</w:t>
            </w:r>
            <w:r>
              <w:rPr>
                <w:sz w:val="21"/>
              </w:rPr>
              <w:t>氨氮、高锰酸盐指数、总磷</w:t>
            </w:r>
            <w:r>
              <w:rPr>
                <w:sz w:val="21"/>
              </w:rPr>
              <w:t>、</w:t>
            </w:r>
            <w:r>
              <w:rPr>
                <w:sz w:val="21"/>
              </w:rPr>
              <w:t>总氮</w:t>
            </w:r>
            <w:r>
              <w:rPr>
                <w:sz w:val="21"/>
              </w:rPr>
              <w:t>质控措施技术要求</w:t>
            </w:r>
          </w:p>
          <w:p>
            <w:pPr>
              <w:pStyle w:val="null3"/>
              <w:jc w:val="both"/>
            </w:pPr>
            <w:r>
              <w:rPr>
                <w:sz w:val="21"/>
              </w:rPr>
              <w:t>氨氮、高锰酸盐指数、总磷</w:t>
            </w:r>
            <w:r>
              <w:rPr>
                <w:sz w:val="21"/>
              </w:rPr>
              <w:t>、</w:t>
            </w:r>
            <w:r>
              <w:rPr>
                <w:sz w:val="21"/>
              </w:rPr>
              <w:t>总氮低浓度标样</w:t>
            </w:r>
            <w:r>
              <w:rPr>
                <w:sz w:val="21"/>
              </w:rPr>
              <w:t>核查、</w:t>
            </w:r>
            <w:r>
              <w:rPr>
                <w:sz w:val="21"/>
              </w:rPr>
              <w:t>24</w:t>
            </w:r>
            <w:r>
              <w:rPr>
                <w:sz w:val="21"/>
              </w:rPr>
              <w:t>小时</w:t>
            </w:r>
            <w:r>
              <w:rPr>
                <w:sz w:val="21"/>
              </w:rPr>
              <w:t>低浓度</w:t>
            </w:r>
            <w:r>
              <w:rPr>
                <w:sz w:val="21"/>
              </w:rPr>
              <w:t>漂移、</w:t>
            </w:r>
            <w:r>
              <w:rPr>
                <w:sz w:val="21"/>
              </w:rPr>
              <w:t>高浓度标样</w:t>
            </w:r>
            <w:r>
              <w:rPr>
                <w:sz w:val="21"/>
              </w:rPr>
              <w:t>核查、</w:t>
            </w:r>
            <w:r>
              <w:rPr>
                <w:sz w:val="21"/>
              </w:rPr>
              <w:t>24</w:t>
            </w:r>
            <w:r>
              <w:rPr>
                <w:sz w:val="21"/>
              </w:rPr>
              <w:t>小时</w:t>
            </w:r>
            <w:r>
              <w:rPr>
                <w:sz w:val="21"/>
              </w:rPr>
              <w:t>高浓度</w:t>
            </w:r>
            <w:r>
              <w:rPr>
                <w:sz w:val="21"/>
              </w:rPr>
              <w:t>漂移、多点线性核查、加标回收率测试、集成</w:t>
            </w:r>
            <w:r>
              <w:rPr>
                <w:sz w:val="21"/>
              </w:rPr>
              <w:t>影响</w:t>
            </w:r>
            <w:r>
              <w:rPr>
                <w:sz w:val="21"/>
              </w:rPr>
              <w:t>检查、实际水样比对应满足表</w:t>
            </w:r>
            <w:r>
              <w:rPr>
                <w:sz w:val="21"/>
              </w:rPr>
              <w:t>2</w:t>
            </w:r>
            <w:r>
              <w:rPr>
                <w:sz w:val="21"/>
              </w:rPr>
              <w:t>要求。</w:t>
            </w:r>
          </w:p>
          <w:p>
            <w:pPr>
              <w:pStyle w:val="null3"/>
              <w:jc w:val="both"/>
            </w:pPr>
            <w:r>
              <w:rPr>
                <w:sz w:val="21"/>
              </w:rPr>
              <w:t>表</w:t>
            </w:r>
            <w:r>
              <w:rPr>
                <w:sz w:val="21"/>
              </w:rPr>
              <w:t>2</w:t>
            </w:r>
            <w:r>
              <w:rPr>
                <w:sz w:val="21"/>
              </w:rPr>
              <w:t>氨氮、高锰酸盐指数、总磷</w:t>
            </w:r>
            <w:r>
              <w:rPr>
                <w:sz w:val="21"/>
              </w:rPr>
              <w:t>、</w:t>
            </w:r>
            <w:r>
              <w:rPr>
                <w:sz w:val="21"/>
              </w:rPr>
              <w:t>总氮</w:t>
            </w:r>
            <w:r>
              <w:rPr>
                <w:sz w:val="21"/>
              </w:rPr>
              <w:t>质控措施技术要求</w:t>
            </w:r>
          </w:p>
          <w:p>
            <w:pPr>
              <w:pStyle w:val="null3"/>
            </w:pPr>
            <w:r>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374"/>
              <w:gridCol w:w="434"/>
              <w:gridCol w:w="793"/>
              <w:gridCol w:w="419"/>
              <w:gridCol w:w="478"/>
              <w:gridCol w:w="688"/>
              <w:gridCol w:w="1676"/>
              <w:gridCol w:w="673"/>
            </w:tblGrid>
            <w:tr>
              <w:tc>
                <w:tcPr>
                  <w:tcW w:type="dxa" w:w="80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质控措施</w:t>
                  </w:r>
                </w:p>
              </w:tc>
              <w:tc>
                <w:tcPr>
                  <w:tcW w:type="dxa" w:w="237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c>
                <w:tcPr>
                  <w:tcW w:type="dxa" w:w="1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检测方法</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808"/>
                  <w:gridSpan w:val="2"/>
                  <w:vMerge/>
                  <w:tcBorders>
                    <w:top w:val="single" w:color="000000" w:sz="4"/>
                    <w:left w:val="single" w:color="000000" w:sz="4"/>
                    <w:bottom w:val="single" w:color="000000" w:sz="4"/>
                    <w:right w:val="single" w:color="000000" w:sz="4"/>
                  </w:tcBorders>
                </w:tcP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w:t>
                  </w:r>
                </w:p>
              </w:tc>
              <w:tc>
                <w:tcPr>
                  <w:tcW w:type="dxa" w:w="1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低浓度标样</w:t>
                  </w:r>
                  <w:r>
                    <w:rPr>
                      <w:sz w:val="21"/>
                    </w:rPr>
                    <w:t>核查</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Ⅰ~Ⅲ</w:t>
                  </w:r>
                  <w:r>
                    <w:rPr>
                      <w:sz w:val="21"/>
                    </w:rPr>
                    <w:t>类水体</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1.0mg/L</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0.2mg/L</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0.02mg/L</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3</w:t>
                  </w:r>
                  <w:r>
                    <w:rPr>
                      <w:sz w:val="21"/>
                    </w:rPr>
                    <w:t>mg/L</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A.1</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Ⅳ~</w:t>
                  </w:r>
                  <w:r>
                    <w:rPr>
                      <w:sz w:val="21"/>
                    </w:rPr>
                    <w:t>劣</w:t>
                  </w:r>
                  <w:r>
                    <w:rPr>
                      <w:sz w:val="21"/>
                    </w:rPr>
                    <w:t>Ⅴ</w:t>
                  </w:r>
                  <w:r>
                    <w:rPr>
                      <w:sz w:val="21"/>
                    </w:rPr>
                    <w:t>类水体</w:t>
                  </w:r>
                </w:p>
              </w:tc>
              <w:tc>
                <w:tcPr>
                  <w:tcW w:type="dxa" w:w="23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±5%FS</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24 </w:t>
                  </w:r>
                  <w:r>
                    <w:rPr>
                      <w:sz w:val="21"/>
                    </w:rPr>
                    <w:t>小时</w:t>
                  </w:r>
                  <w:r>
                    <w:rPr>
                      <w:sz w:val="21"/>
                    </w:rPr>
                    <w:t>低浓度</w:t>
                  </w:r>
                  <w:r>
                    <w:rPr>
                      <w:sz w:val="21"/>
                    </w:rPr>
                    <w:t>漂移</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A.1</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高浓度标样</w:t>
                  </w:r>
                  <w:r>
                    <w:rPr>
                      <w:sz w:val="21"/>
                    </w:rPr>
                    <w:t>核查</w:t>
                  </w:r>
                </w:p>
              </w:tc>
              <w:tc>
                <w:tcPr>
                  <w:tcW w:type="dxa" w:w="23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24 </w:t>
                  </w:r>
                  <w:r>
                    <w:rPr>
                      <w:sz w:val="21"/>
                    </w:rPr>
                    <w:t>小时跨度漂移</w:t>
                  </w:r>
                </w:p>
              </w:tc>
              <w:tc>
                <w:tcPr>
                  <w:tcW w:type="dxa" w:w="23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多点线性核查</w:t>
                  </w:r>
                </w:p>
              </w:tc>
              <w:tc>
                <w:tcPr>
                  <w:tcW w:type="dxa" w:w="1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w:t>
                  </w:r>
                  <w:r>
                    <w:rPr>
                      <w:sz w:val="21"/>
                    </w:rPr>
                    <w:t>r</w:t>
                  </w:r>
                </w:p>
              </w:tc>
              <w:tc>
                <w:tcPr>
                  <w:tcW w:type="dxa" w:w="1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≥0.98</w:t>
                  </w:r>
                </w:p>
              </w:tc>
              <w:tc>
                <w:tcPr>
                  <w:tcW w:type="dxa" w:w="1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A.4</w:t>
                  </w:r>
                </w:p>
              </w:tc>
              <w:tc>
                <w:tcPr>
                  <w:tcW w:type="dxa" w:w="67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可使用当日日质控测试结果且在当日完成</w:t>
                  </w:r>
                </w:p>
              </w:tc>
            </w:tr>
            <w:tr>
              <w:tc>
                <w:tcPr>
                  <w:tcW w:type="dxa" w:w="808"/>
                  <w:gridSpan w:val="2"/>
                  <w:vMerge/>
                  <w:tcBorders>
                    <w:top w:val="none" w:color="000000" w:sz="4"/>
                    <w:left w:val="single" w:color="000000" w:sz="4"/>
                    <w:bottom w:val="single" w:color="000000" w:sz="4"/>
                    <w:right w:val="single" w:color="000000" w:sz="4"/>
                  </w:tcBorders>
                </w:tcPr>
                <w:p/>
              </w:tc>
              <w:tc>
                <w:tcPr>
                  <w:tcW w:type="dxa" w:w="1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w:t>
                  </w:r>
                  <w:r>
                    <w:rPr>
                      <w:sz w:val="21"/>
                    </w:rPr>
                    <w:t>误差（浓度</w:t>
                  </w:r>
                </w:p>
                <w:p>
                  <w:pPr>
                    <w:pStyle w:val="null3"/>
                    <w:jc w:val="center"/>
                  </w:pPr>
                  <w:r>
                    <w:rPr>
                      <w:sz w:val="21"/>
                    </w:rPr>
                    <w:t>＞</w:t>
                  </w:r>
                  <w:r>
                    <w:rPr>
                      <w:sz w:val="21"/>
                    </w:rPr>
                    <w:t>20%FS</w:t>
                  </w:r>
                  <w:r>
                    <w:rPr>
                      <w:sz w:val="21"/>
                    </w:rPr>
                    <w:t>）</w:t>
                  </w:r>
                </w:p>
              </w:tc>
              <w:tc>
                <w:tcPr>
                  <w:tcW w:type="dxa" w:w="1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76"/>
                  <w:vMerge/>
                  <w:tcBorders>
                    <w:top w:val="none" w:color="000000" w:sz="4"/>
                    <w:left w:val="single" w:color="000000" w:sz="4"/>
                    <w:bottom w:val="single" w:color="000000" w:sz="4"/>
                    <w:right w:val="single" w:color="000000" w:sz="4"/>
                  </w:tcBorders>
                </w:tcPr>
                <w:p/>
              </w:tc>
              <w:tc>
                <w:tcPr>
                  <w:tcW w:type="dxa" w:w="673"/>
                  <w:vMerge/>
                  <w:tcBorders>
                    <w:top w:val="single" w:color="000000" w:sz="4"/>
                    <w:left w:val="single" w:color="000000" w:sz="4"/>
                    <w:bottom w:val="single" w:color="000000" w:sz="4"/>
                    <w:right w:val="single" w:color="000000" w:sz="4"/>
                  </w:tcBorders>
                </w:tcPr>
                <w:p/>
              </w:tc>
            </w:tr>
            <w:tr>
              <w:tc>
                <w:tcPr>
                  <w:tcW w:type="dxa" w:w="808"/>
                  <w:gridSpan w:val="2"/>
                  <w:vMerge/>
                  <w:tcBorders>
                    <w:top w:val="none" w:color="000000" w:sz="4"/>
                    <w:left w:val="single" w:color="000000" w:sz="4"/>
                    <w:bottom w:val="single" w:color="000000" w:sz="4"/>
                    <w:right w:val="single" w:color="000000" w:sz="4"/>
                  </w:tcBorders>
                </w:tcPr>
                <w:p/>
              </w:tc>
              <w:tc>
                <w:tcPr>
                  <w:tcW w:type="dxa" w:w="1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绝对</w:t>
                  </w:r>
                  <w:r>
                    <w:rPr>
                      <w:sz w:val="21"/>
                    </w:rPr>
                    <w:t>误差（浓度</w:t>
                  </w:r>
                </w:p>
                <w:p>
                  <w:pPr>
                    <w:pStyle w:val="null3"/>
                    <w:jc w:val="center"/>
                  </w:pPr>
                  <w:r>
                    <w:rPr>
                      <w:sz w:val="21"/>
                    </w:rPr>
                    <w:t>≤</w:t>
                  </w:r>
                  <w:r>
                    <w:rPr>
                      <w:sz w:val="21"/>
                    </w:rPr>
                    <w:t>20% FS</w:t>
                  </w:r>
                  <w:r>
                    <w:rPr>
                      <w:sz w:val="21"/>
                    </w:rPr>
                    <w:t>）</w:t>
                  </w:r>
                </w:p>
              </w:tc>
              <w:tc>
                <w:tcPr>
                  <w:tcW w:type="dxa" w:w="1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参照</w:t>
                  </w:r>
                  <w:r>
                    <w:rPr>
                      <w:sz w:val="21"/>
                    </w:rPr>
                    <w:t>低浓度</w:t>
                  </w:r>
                  <w:r>
                    <w:rPr>
                      <w:sz w:val="21"/>
                    </w:rPr>
                    <w:t>核查要求</w:t>
                  </w:r>
                </w:p>
              </w:tc>
              <w:tc>
                <w:tcPr>
                  <w:tcW w:type="dxa" w:w="1676"/>
                  <w:vMerge/>
                  <w:tcBorders>
                    <w:top w:val="none" w:color="000000" w:sz="4"/>
                    <w:left w:val="single" w:color="000000" w:sz="4"/>
                    <w:bottom w:val="single" w:color="000000" w:sz="4"/>
                    <w:right w:val="single" w:color="000000" w:sz="4"/>
                  </w:tcBorders>
                </w:tcPr>
                <w:p/>
              </w:tc>
              <w:tc>
                <w:tcPr>
                  <w:tcW w:type="dxa" w:w="673"/>
                  <w:vMerge/>
                  <w:tcBorders>
                    <w:top w:val="single" w:color="000000" w:sz="4"/>
                    <w:left w:val="single" w:color="000000" w:sz="4"/>
                    <w:bottom w:val="single" w:color="000000" w:sz="4"/>
                    <w:right w:val="single" w:color="000000" w:sz="4"/>
                  </w:tcBorders>
                </w:tcPr>
                <w:p/>
              </w:tc>
            </w:tr>
            <w:tr>
              <w:tc>
                <w:tcPr>
                  <w:tcW w:type="dxa" w:w="80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c>
                <w:tcPr>
                  <w:tcW w:type="dxa" w:w="1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Cx</w:t>
                  </w:r>
                  <w:r>
                    <w:rPr>
                      <w:sz w:val="21"/>
                    </w:rPr>
                    <w:t xml:space="preserve">&gt; </w:t>
                  </w:r>
                  <w:r>
                    <w:rPr>
                      <w:sz w:val="21"/>
                      <w:i/>
                    </w:rPr>
                    <w:t>B</w:t>
                  </w:r>
                  <w:r>
                    <w:rPr>
                      <w:sz w:val="21"/>
                    </w:rPr>
                    <w:t>Ⅳ</w:t>
                  </w:r>
                </w:p>
              </w:tc>
              <w:tc>
                <w:tcPr>
                  <w:tcW w:type="dxa" w:w="1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≤20%</w:t>
                  </w:r>
                </w:p>
              </w:tc>
              <w:tc>
                <w:tcPr>
                  <w:tcW w:type="dxa" w:w="1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A.7</w:t>
                  </w:r>
                </w:p>
              </w:tc>
              <w:tc>
                <w:tcPr>
                  <w:tcW w:type="dxa" w:w="6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8"/>
                  <w:gridSpan w:val="2"/>
                  <w:vMerge/>
                  <w:tcBorders>
                    <w:top w:val="none" w:color="000000" w:sz="4"/>
                    <w:left w:val="single" w:color="000000" w:sz="4"/>
                    <w:bottom w:val="single" w:color="000000" w:sz="4"/>
                    <w:right w:val="single" w:color="000000" w:sz="4"/>
                  </w:tcBorders>
                </w:tcPr>
                <w:p/>
              </w:tc>
              <w:tc>
                <w:tcPr>
                  <w:tcW w:type="dxa" w:w="1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B</w:t>
                  </w:r>
                  <w:r>
                    <w:rPr>
                      <w:sz w:val="21"/>
                    </w:rPr>
                    <w:t xml:space="preserve">Ⅱ&lt; </w:t>
                  </w:r>
                  <w:r>
                    <w:rPr>
                      <w:sz w:val="21"/>
                      <w:i/>
                    </w:rPr>
                    <w:t>Cx</w:t>
                  </w:r>
                  <w:r>
                    <w:rPr>
                      <w:sz w:val="21"/>
                    </w:rPr>
                    <w:t xml:space="preserve">£ </w:t>
                  </w:r>
                  <w:r>
                    <w:rPr>
                      <w:sz w:val="21"/>
                      <w:i/>
                    </w:rPr>
                    <w:t>B</w:t>
                  </w:r>
                  <w:r>
                    <w:rPr>
                      <w:sz w:val="21"/>
                    </w:rPr>
                    <w:t>Ⅳ</w:t>
                  </w:r>
                </w:p>
              </w:tc>
              <w:tc>
                <w:tcPr>
                  <w:tcW w:type="dxa" w:w="11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≤30%</w:t>
                  </w:r>
                </w:p>
              </w:tc>
              <w:tc>
                <w:tcPr>
                  <w:tcW w:type="dxa" w:w="1676"/>
                  <w:vMerge/>
                  <w:tcBorders>
                    <w:top w:val="none" w:color="000000" w:sz="4"/>
                    <w:left w:val="single" w:color="000000" w:sz="4"/>
                    <w:bottom w:val="single" w:color="000000" w:sz="4"/>
                    <w:right w:val="single" w:color="000000" w:sz="4"/>
                  </w:tcBorders>
                </w:tcPr>
                <w:p/>
              </w:tc>
              <w:tc>
                <w:tcPr>
                  <w:tcW w:type="dxa" w:w="673"/>
                  <w:vMerge/>
                  <w:tcBorders>
                    <w:top w:val="none" w:color="000000" w:sz="4"/>
                    <w:left w:val="single" w:color="000000" w:sz="4"/>
                    <w:bottom w:val="single" w:color="000000" w:sz="4"/>
                    <w:right w:val="single" w:color="000000" w:sz="4"/>
                  </w:tcBorders>
                </w:tcPr>
                <w:p/>
              </w:tc>
            </w:tr>
            <w:tr>
              <w:tc>
                <w:tcPr>
                  <w:tcW w:type="dxa" w:w="808"/>
                  <w:gridSpan w:val="2"/>
                  <w:vMerge/>
                  <w:tcBorders>
                    <w:top w:val="none" w:color="000000" w:sz="4"/>
                    <w:left w:val="single" w:color="000000" w:sz="4"/>
                    <w:bottom w:val="single" w:color="000000" w:sz="4"/>
                    <w:right w:val="single" w:color="000000" w:sz="4"/>
                  </w:tcBorders>
                </w:tcPr>
                <w:p/>
              </w:tc>
              <w:tc>
                <w:tcPr>
                  <w:tcW w:type="dxa" w:w="12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Cx</w:t>
                  </w:r>
                  <w:r>
                    <w:rPr>
                      <w:sz w:val="21"/>
                    </w:rPr>
                    <w:t xml:space="preserve">£ </w:t>
                  </w:r>
                  <w:r>
                    <w:rPr>
                      <w:sz w:val="21"/>
                      <w:i/>
                    </w:rPr>
                    <w:t>B</w:t>
                  </w:r>
                  <w:r>
                    <w:rPr>
                      <w:sz w:val="21"/>
                    </w:rPr>
                    <w:t>Ⅱ</w:t>
                  </w:r>
                </w:p>
              </w:tc>
              <w:tc>
                <w:tcPr>
                  <w:tcW w:type="dxa" w:w="1166"/>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≤40%</w:t>
                  </w:r>
                </w:p>
              </w:tc>
              <w:tc>
                <w:tcPr>
                  <w:tcW w:type="dxa" w:w="1676"/>
                  <w:vMerge/>
                  <w:tcBorders>
                    <w:top w:val="none" w:color="000000" w:sz="4"/>
                    <w:left w:val="single" w:color="000000" w:sz="4"/>
                    <w:bottom w:val="single" w:color="000000" w:sz="4"/>
                    <w:right w:val="single" w:color="000000" w:sz="4"/>
                  </w:tcBorders>
                </w:tcPr>
                <w:p/>
              </w:tc>
              <w:tc>
                <w:tcPr>
                  <w:tcW w:type="dxa" w:w="673"/>
                  <w:vMerge/>
                  <w:tcBorders>
                    <w:top w:val="none" w:color="000000" w:sz="4"/>
                    <w:left w:val="single" w:color="000000" w:sz="4"/>
                    <w:bottom w:val="single" w:color="000000" w:sz="4"/>
                    <w:right w:val="single" w:color="000000" w:sz="4"/>
                  </w:tcBorders>
                </w:tcPr>
                <w:p/>
              </w:tc>
            </w:tr>
            <w:tr>
              <w:tc>
                <w:tcPr>
                  <w:tcW w:type="dxa" w:w="808"/>
                  <w:gridSpan w:val="2"/>
                  <w:vMerge/>
                  <w:tcBorders>
                    <w:top w:val="none" w:color="000000" w:sz="4"/>
                    <w:left w:val="single" w:color="000000" w:sz="4"/>
                    <w:bottom w:val="single" w:color="000000" w:sz="4"/>
                    <w:right w:val="single" w:color="000000" w:sz="4"/>
                  </w:tcBorders>
                </w:tcPr>
                <w:p/>
              </w:tc>
              <w:tc>
                <w:tcPr>
                  <w:tcW w:type="dxa" w:w="23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当自动监测结果和实验室分析结果均低于</w:t>
                  </w:r>
                  <w:r>
                    <w:rPr>
                      <w:sz w:val="21"/>
                    </w:rPr>
                    <w:t>B</w:t>
                  </w:r>
                  <w:r>
                    <w:rPr>
                      <w:sz w:val="21"/>
                    </w:rPr>
                    <w:t>Ⅱ时，认定比对实验结果合格。</w:t>
                  </w:r>
                </w:p>
                <w:p>
                  <w:pPr>
                    <w:pStyle w:val="null3"/>
                    <w:jc w:val="center"/>
                  </w:pPr>
                  <w:r>
                    <w:rPr>
                      <w:sz w:val="21"/>
                    </w:rPr>
                    <w:t>注：</w:t>
                  </w:r>
                  <w:r>
                    <w:rPr>
                      <w:sz w:val="21"/>
                    </w:rPr>
                    <w:t>①</w:t>
                  </w:r>
                  <w:r>
                    <w:rPr>
                      <w:sz w:val="21"/>
                      <w:i/>
                    </w:rPr>
                    <w:t>Cx</w:t>
                  </w:r>
                  <w:r>
                    <w:rPr>
                      <w:sz w:val="21"/>
                    </w:rPr>
                    <w:t>为实验室分析结果；</w:t>
                  </w:r>
                </w:p>
                <w:p>
                  <w:pPr>
                    <w:pStyle w:val="null3"/>
                    <w:jc w:val="center"/>
                  </w:pPr>
                  <w:r>
                    <w:rPr>
                      <w:sz w:val="21"/>
                    </w:rPr>
                    <w:t xml:space="preserve">②B </w:t>
                  </w:r>
                  <w:r>
                    <w:rPr>
                      <w:sz w:val="21"/>
                    </w:rPr>
                    <w:t>为《地表水环境质量标准》（</w:t>
                  </w:r>
                  <w:r>
                    <w:rPr>
                      <w:sz w:val="21"/>
                    </w:rPr>
                    <w:t>GB 3838-2002</w:t>
                  </w:r>
                  <w:r>
                    <w:rPr>
                      <w:sz w:val="21"/>
                    </w:rPr>
                    <w:t>）规定的水质类别限值；</w:t>
                  </w:r>
                </w:p>
              </w:tc>
              <w:tc>
                <w:tcPr>
                  <w:tcW w:type="dxa" w:w="1676"/>
                  <w:vMerge/>
                  <w:tcBorders>
                    <w:top w:val="none" w:color="000000" w:sz="4"/>
                    <w:left w:val="single" w:color="000000" w:sz="4"/>
                    <w:bottom w:val="single" w:color="000000" w:sz="4"/>
                    <w:right w:val="single" w:color="000000" w:sz="4"/>
                  </w:tcBorders>
                </w:tcPr>
                <w:p/>
              </w:tc>
              <w:tc>
                <w:tcPr>
                  <w:tcW w:type="dxa" w:w="673"/>
                  <w:vMerge/>
                  <w:tcBorders>
                    <w:top w:val="none" w:color="000000" w:sz="4"/>
                    <w:left w:val="single" w:color="000000" w:sz="4"/>
                    <w:bottom w:val="single" w:color="000000" w:sz="4"/>
                    <w:right w:val="single" w:color="000000" w:sz="4"/>
                  </w:tcBorders>
                </w:tcPr>
                <w:p/>
              </w:tc>
            </w:tr>
            <w:tr>
              <w:tc>
                <w:tcPr>
                  <w:tcW w:type="dxa" w:w="8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加标回收率自动测试</w:t>
                  </w:r>
                </w:p>
              </w:tc>
              <w:tc>
                <w:tcPr>
                  <w:tcW w:type="dxa" w:w="23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80%~120%</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A.5</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w:t>
                  </w:r>
                  <w:r>
                    <w:rPr>
                      <w:sz w:val="21"/>
                    </w:rPr>
                    <w:t>影响</w:t>
                  </w:r>
                  <w:r>
                    <w:rPr>
                      <w:sz w:val="21"/>
                    </w:rPr>
                    <w:t>检查</w:t>
                  </w:r>
                </w:p>
              </w:tc>
              <w:tc>
                <w:tcPr>
                  <w:tcW w:type="dxa" w:w="23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A.6</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2</w:t>
            </w:r>
            <w:r>
              <w:rPr>
                <w:sz w:val="21"/>
              </w:rPr>
              <w:t>）</w:t>
            </w:r>
            <w:r>
              <w:rPr>
                <w:sz w:val="21"/>
              </w:rPr>
              <w:t>常规五参数质控措施实施要求</w:t>
            </w:r>
          </w:p>
          <w:p>
            <w:pPr>
              <w:pStyle w:val="null3"/>
              <w:jc w:val="both"/>
            </w:pPr>
            <w:r>
              <w:rPr>
                <w:sz w:val="21"/>
              </w:rPr>
              <w:t>常规五参数每周开展的标准溶液考核和每月开展的实际水样比对应满足表</w:t>
            </w:r>
            <w:r>
              <w:rPr>
                <w:sz w:val="21"/>
              </w:rPr>
              <w:t>3</w:t>
            </w:r>
            <w:r>
              <w:rPr>
                <w:sz w:val="21"/>
              </w:rPr>
              <w:t>要求。</w:t>
            </w:r>
          </w:p>
          <w:p>
            <w:pPr>
              <w:pStyle w:val="null3"/>
              <w:jc w:val="both"/>
            </w:pPr>
            <w:r>
              <w:rPr>
                <w:sz w:val="21"/>
              </w:rPr>
              <w:t>表</w:t>
            </w:r>
            <w:r>
              <w:rPr>
                <w:sz w:val="21"/>
              </w:rPr>
              <w:t>3</w:t>
            </w:r>
            <w:r>
              <w:rPr>
                <w:sz w:val="21"/>
              </w:rPr>
              <w:t>常规五参数质控措施要求</w:t>
            </w:r>
          </w:p>
          <w:tbl>
            <w:tblPr>
              <w:tblInd w:type="dxa" w:w="120"/>
              <w:tblBorders>
                <w:top w:val="none" w:color="000000" w:sz="4"/>
                <w:left w:val="none" w:color="000000" w:sz="4"/>
                <w:bottom w:val="none" w:color="000000" w:sz="4"/>
                <w:right w:val="none" w:color="000000" w:sz="4"/>
                <w:insideH w:val="none"/>
                <w:insideV w:val="none"/>
              </w:tblBorders>
            </w:tblPr>
            <w:tblGrid>
              <w:gridCol w:w="859"/>
              <w:gridCol w:w="1014"/>
              <w:gridCol w:w="668"/>
              <w:gridCol w:w="1074"/>
              <w:gridCol w:w="907"/>
              <w:gridCol w:w="1074"/>
            </w:tblGrid>
            <w:tr>
              <w:tc>
                <w:tcPr>
                  <w:tcW w:type="dxa" w:w="8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监测项目</w:t>
                  </w:r>
                </w:p>
              </w:tc>
              <w:tc>
                <w:tcPr>
                  <w:tcW w:type="dxa" w:w="366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c>
                <w:tcPr>
                  <w:tcW w:type="dxa" w:w="10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检测方法</w:t>
                  </w:r>
                </w:p>
              </w:tc>
            </w:tr>
            <w:tr>
              <w:tc>
                <w:tcPr>
                  <w:tcW w:type="dxa" w:w="859"/>
                  <w:vMerge/>
                  <w:tcBorders>
                    <w:top w:val="single" w:color="000000" w:sz="4"/>
                    <w:left w:val="single" w:color="000000" w:sz="4"/>
                    <w:bottom w:val="single" w:color="000000" w:sz="4"/>
                    <w:right w:val="single" w:color="000000" w:sz="4"/>
                  </w:tcBorders>
                </w:tcPr>
                <w:p/>
              </w:tc>
              <w:tc>
                <w:tcPr>
                  <w:tcW w:type="dxa" w:w="16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标准溶液考核</w:t>
                  </w:r>
                </w:p>
              </w:tc>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水温</w:t>
                  </w:r>
                </w:p>
              </w:tc>
              <w:tc>
                <w:tcPr>
                  <w:tcW w:type="dxa" w:w="16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b/>
                    </w:rPr>
                    <w:t>/</w:t>
                  </w:r>
                </w:p>
              </w:tc>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0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A.7</w:t>
                  </w:r>
                </w:p>
              </w:tc>
            </w:tr>
            <w:tr>
              <w:tc>
                <w:tcPr>
                  <w:tcW w:type="dxa" w:w="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p>
              </w:tc>
              <w:tc>
                <w:tcPr>
                  <w:tcW w:type="dxa" w:w="16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0.15</w:t>
                  </w:r>
                </w:p>
              </w:tc>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w:t>
                  </w:r>
                </w:p>
              </w:tc>
              <w:tc>
                <w:tcPr>
                  <w:tcW w:type="dxa" w:w="168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±0.3mg/L</w:t>
                  </w:r>
                </w:p>
              </w:tc>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8</w:t>
                  </w:r>
                  <w:r>
                    <w:rPr>
                      <w:sz w:val="21"/>
                    </w:rPr>
                    <w:t>mg/L</w:t>
                  </w:r>
                </w:p>
              </w:tc>
            </w:tr>
            <w:tr>
              <w:tc>
                <w:tcPr>
                  <w:tcW w:type="dxa" w:w="859"/>
                  <w:vMerge/>
                  <w:tcBorders>
                    <w:top w:val="none" w:color="000000" w:sz="4"/>
                    <w:left w:val="single" w:color="000000" w:sz="4"/>
                    <w:bottom w:val="single" w:color="000000" w:sz="4"/>
                    <w:right w:val="single" w:color="000000" w:sz="4"/>
                  </w:tcBorders>
                </w:tcPr>
                <w:p/>
              </w:tc>
              <w:tc>
                <w:tcPr>
                  <w:tcW w:type="dxa" w:w="1682"/>
                  <w:gridSpan w:val="2"/>
                  <w:vMerge/>
                  <w:tcBorders>
                    <w:top w:val="none" w:color="000000" w:sz="4"/>
                    <w:left w:val="single" w:color="000000" w:sz="4"/>
                    <w:bottom w:val="single" w:color="000000" w:sz="4"/>
                    <w:right w:val="single" w:color="000000" w:sz="4"/>
                  </w:tcBorders>
                </w:tcPr>
                <w:p/>
              </w:tc>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当溶解氧自动监测仪与便携仪器均过饱和时，比对结果合格</w:t>
                  </w: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标准溶液值＞</w:t>
                  </w:r>
                  <w:r>
                    <w:rPr>
                      <w:sz w:val="21"/>
                    </w:rPr>
                    <w:t>100</w:t>
                  </w:r>
                  <w:r>
                    <w:rPr>
                      <w:sz w:val="21"/>
                    </w:rPr>
                    <w:t>μ</w:t>
                  </w:r>
                  <w:r>
                    <w:rPr>
                      <w:sz w:val="21"/>
                    </w:rPr>
                    <w:t>S/cm</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c>
                <w:tcPr>
                  <w:tcW w:type="dxa" w:w="10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100</w:t>
                  </w:r>
                  <w:r>
                    <w:rPr>
                      <w:sz w:val="21"/>
                    </w:rPr>
                    <w:t>μ</w:t>
                  </w:r>
                  <w:r>
                    <w:rPr>
                      <w:sz w:val="21"/>
                    </w:rPr>
                    <w:t>S/cm</w:t>
                  </w:r>
                </w:p>
              </w:tc>
              <w:tc>
                <w:tcPr>
                  <w:tcW w:type="dxa" w:w="9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c>
                <w:tcPr>
                  <w:tcW w:type="dxa" w:w="1074"/>
                  <w:vMerge/>
                  <w:tcBorders>
                    <w:top w:val="none" w:color="000000" w:sz="4"/>
                    <w:left w:val="single" w:color="000000" w:sz="4"/>
                    <w:bottom w:val="single" w:color="000000" w:sz="4"/>
                    <w:right w:val="single" w:color="000000" w:sz="4"/>
                  </w:tcBorders>
                </w:tcPr>
                <w:p/>
              </w:tc>
            </w:tr>
            <w:tr>
              <w:tc>
                <w:tcPr>
                  <w:tcW w:type="dxa" w:w="859"/>
                  <w:vMerge/>
                  <w:tcBorders>
                    <w:top w:val="none" w:color="000000" w:sz="4"/>
                    <w:left w:val="single" w:color="000000" w:sz="4"/>
                    <w:bottom w:val="single" w:color="000000" w:sz="4"/>
                    <w:right w:val="single" w:color="000000" w:sz="4"/>
                  </w:tcBorders>
                </w:tcP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标准溶液值</w:t>
                  </w:r>
                  <w:r>
                    <w:rPr>
                      <w:sz w:val="21"/>
                    </w:rPr>
                    <w:t>≤</w:t>
                  </w:r>
                  <w:r>
                    <w:rPr>
                      <w:sz w:val="21"/>
                    </w:rPr>
                    <w:t>100</w:t>
                  </w:r>
                  <w:r>
                    <w:rPr>
                      <w:sz w:val="21"/>
                    </w:rPr>
                    <w:t>μ</w:t>
                  </w:r>
                  <w:r>
                    <w:rPr>
                      <w:sz w:val="21"/>
                    </w:rPr>
                    <w:t>S/cm</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μ</w:t>
                  </w:r>
                  <w:r>
                    <w:rPr>
                      <w:sz w:val="21"/>
                    </w:rPr>
                    <w:t>S/cm</w:t>
                  </w:r>
                </w:p>
              </w:tc>
              <w:tc>
                <w:tcPr>
                  <w:tcW w:type="dxa" w:w="10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w:t>
                  </w:r>
                  <w:r>
                    <w:rPr>
                      <w:sz w:val="21"/>
                    </w:rPr>
                    <w:t>100</w:t>
                  </w:r>
                  <w:r>
                    <w:rPr>
                      <w:sz w:val="21"/>
                    </w:rPr>
                    <w:t>μ</w:t>
                  </w:r>
                  <w:r>
                    <w:rPr>
                      <w:sz w:val="21"/>
                    </w:rPr>
                    <w:t>S/cm</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μ</w:t>
                  </w:r>
                  <w:r>
                    <w:rPr>
                      <w:sz w:val="21"/>
                    </w:rPr>
                    <w:t>S/cm</w:t>
                  </w:r>
                </w:p>
              </w:tc>
              <w:tc>
                <w:tcPr>
                  <w:tcW w:type="dxa" w:w="1074"/>
                  <w:vMerge/>
                  <w:tcBorders>
                    <w:top w:val="none" w:color="000000" w:sz="4"/>
                    <w:left w:val="single" w:color="000000" w:sz="4"/>
                    <w:bottom w:val="single" w:color="000000" w:sz="4"/>
                    <w:right w:val="single" w:color="000000" w:sz="4"/>
                  </w:tcBorders>
                </w:tcPr>
                <w:p/>
              </w:tc>
            </w:tr>
            <w:tr>
              <w:tc>
                <w:tcPr>
                  <w:tcW w:type="dxa" w:w="8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w:t>
                  </w:r>
                </w:p>
              </w:tc>
              <w:tc>
                <w:tcPr>
                  <w:tcW w:type="dxa" w:w="1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30NTU</w:t>
                  </w:r>
                  <w:r>
                    <w:rPr>
                      <w:sz w:val="21"/>
                    </w:rPr>
                    <w:t>＜</w:t>
                  </w:r>
                  <w:r>
                    <w:rPr>
                      <w:sz w:val="21"/>
                    </w:rPr>
                    <w:t>标准溶液值</w:t>
                  </w:r>
                  <w:r>
                    <w:rPr>
                      <w:sz w:val="21"/>
                    </w:rPr>
                    <w:t>≤</w:t>
                  </w:r>
                  <w:r>
                    <w:rPr>
                      <w:sz w:val="21"/>
                    </w:rPr>
                    <w:t>50NTU</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15%</w:t>
                  </w:r>
                </w:p>
              </w:tc>
              <w:tc>
                <w:tcPr>
                  <w:tcW w:type="dxa" w:w="10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便携监测结果</w:t>
                  </w:r>
                  <w:r>
                    <w:rPr>
                      <w:sz w:val="21"/>
                    </w:rPr>
                    <w:t>≤</w:t>
                  </w:r>
                  <w:r>
                    <w:rPr>
                      <w:sz w:val="21"/>
                    </w:rPr>
                    <w:t>50NTU</w:t>
                  </w:r>
                </w:p>
              </w:tc>
              <w:tc>
                <w:tcPr>
                  <w:tcW w:type="dxa" w:w="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w:t>
                  </w:r>
                </w:p>
              </w:tc>
              <w:tc>
                <w:tcPr>
                  <w:tcW w:type="dxa" w:w="1074"/>
                  <w:vMerge/>
                  <w:tcBorders>
                    <w:top w:val="none" w:color="000000" w:sz="4"/>
                    <w:left w:val="single" w:color="000000" w:sz="4"/>
                    <w:bottom w:val="single" w:color="000000" w:sz="4"/>
                    <w:right w:val="single" w:color="000000" w:sz="4"/>
                  </w:tcBorders>
                </w:tcPr>
                <w:p/>
              </w:tc>
            </w:tr>
            <w:tr>
              <w:tc>
                <w:tcPr>
                  <w:tcW w:type="dxa" w:w="859"/>
                  <w:vMerge/>
                  <w:tcBorders>
                    <w:top w:val="none" w:color="000000" w:sz="4"/>
                    <w:left w:val="single" w:color="000000" w:sz="4"/>
                    <w:bottom w:val="single" w:color="000000" w:sz="4"/>
                    <w:right w:val="single" w:color="000000" w:sz="4"/>
                  </w:tcBorders>
                </w:tcP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50NTU</w:t>
                  </w:r>
                  <w:r>
                    <w:rPr>
                      <w:sz w:val="21"/>
                    </w:rPr>
                    <w:t>＜</w:t>
                  </w:r>
                  <w:r>
                    <w:rPr>
                      <w:sz w:val="21"/>
                    </w:rPr>
                    <w:t>标准溶液值</w:t>
                  </w:r>
                  <w:r>
                    <w:rPr>
                      <w:sz w:val="21"/>
                    </w:rPr>
                    <w:t>＜</w:t>
                  </w:r>
                  <w:r>
                    <w:rPr>
                      <w:sz w:val="21"/>
                    </w:rPr>
                    <w:t>1000NTU</w:t>
                  </w:r>
                </w:p>
              </w:tc>
              <w:tc>
                <w:tcPr>
                  <w:tcW w:type="dxa" w:w="6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c>
                <w:tcPr>
                  <w:tcW w:type="dxa" w:w="10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便携监测结果＞</w:t>
                  </w:r>
                  <w:r>
                    <w:rPr>
                      <w:sz w:val="21"/>
                    </w:rPr>
                    <w:t>50NTU</w:t>
                  </w:r>
                </w:p>
              </w:tc>
              <w:tc>
                <w:tcPr>
                  <w:tcW w:type="dxa" w:w="90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20%</w:t>
                  </w:r>
                </w:p>
              </w:tc>
              <w:tc>
                <w:tcPr>
                  <w:tcW w:type="dxa" w:w="1074"/>
                  <w:vMerge/>
                  <w:tcBorders>
                    <w:top w:val="none" w:color="000000" w:sz="4"/>
                    <w:left w:val="single" w:color="000000" w:sz="4"/>
                    <w:bottom w:val="single" w:color="000000" w:sz="4"/>
                    <w:right w:val="single" w:color="000000" w:sz="4"/>
                  </w:tcBorders>
                </w:tcPr>
                <w:p/>
              </w:tc>
            </w:tr>
            <w:tr>
              <w:tc>
                <w:tcPr>
                  <w:tcW w:type="dxa" w:w="859"/>
                  <w:vMerge/>
                  <w:tcBorders>
                    <w:top w:val="none" w:color="000000" w:sz="4"/>
                    <w:left w:val="single" w:color="000000" w:sz="4"/>
                    <w:bottom w:val="single" w:color="000000" w:sz="4"/>
                    <w:right w:val="single" w:color="000000" w:sz="4"/>
                  </w:tcBorders>
                </w:tcPr>
                <w:p/>
              </w:tc>
              <w:tc>
                <w:tcPr>
                  <w:tcW w:type="dxa" w:w="1014"/>
                  <w:vMerge/>
                  <w:tcBorders>
                    <w:top w:val="none" w:color="000000" w:sz="4"/>
                    <w:left w:val="single" w:color="000000" w:sz="4"/>
                    <w:bottom w:val="single" w:color="000000" w:sz="4"/>
                    <w:right w:val="single" w:color="000000" w:sz="4"/>
                  </w:tcBorders>
                </w:tcPr>
                <w:p/>
              </w:tc>
              <w:tc>
                <w:tcPr>
                  <w:tcW w:type="dxa" w:w="668"/>
                  <w:vMerge/>
                  <w:tcBorders>
                    <w:top w:val="none" w:color="000000" w:sz="4"/>
                    <w:left w:val="single" w:color="000000" w:sz="4"/>
                    <w:bottom w:val="single" w:color="000000" w:sz="4"/>
                    <w:right w:val="single" w:color="000000" w:sz="4"/>
                  </w:tcBorders>
                </w:tcPr>
                <w:p/>
              </w:tc>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当浊度自动监测仪与便携仪器监测结果均</w:t>
                  </w:r>
                  <w:r>
                    <w:rPr>
                      <w:sz w:val="21"/>
                    </w:rPr>
                    <w:t>≤</w:t>
                  </w:r>
                  <w:r>
                    <w:rPr>
                      <w:sz w:val="21"/>
                    </w:rPr>
                    <w:t>30NTU</w:t>
                  </w:r>
                  <w:r>
                    <w:rPr>
                      <w:sz w:val="21"/>
                    </w:rPr>
                    <w:t>或≥</w:t>
                  </w:r>
                  <w:r>
                    <w:rPr>
                      <w:sz w:val="21"/>
                    </w:rPr>
                    <w:t>1000NTU</w:t>
                  </w:r>
                  <w:r>
                    <w:rPr>
                      <w:sz w:val="21"/>
                    </w:rPr>
                    <w:t>时，判断比对结果合格</w:t>
                  </w:r>
                </w:p>
              </w:tc>
              <w:tc>
                <w:tcPr>
                  <w:tcW w:type="dxa" w:w="1074"/>
                  <w:vMerge/>
                  <w:tcBorders>
                    <w:top w:val="none" w:color="000000" w:sz="4"/>
                    <w:left w:val="single" w:color="000000" w:sz="4"/>
                    <w:bottom w:val="single" w:color="000000" w:sz="4"/>
                    <w:right w:val="single" w:color="000000" w:sz="4"/>
                  </w:tcBorders>
                </w:tcPr>
                <w:p/>
              </w:tc>
            </w:tr>
          </w:tbl>
          <w:p>
            <w:pPr>
              <w:pStyle w:val="null3"/>
            </w:pPr>
            <w:r>
              <w:rPr>
                <w:sz w:val="21"/>
              </w:rPr>
              <w:t>（</w:t>
            </w:r>
            <w:r>
              <w:rPr>
                <w:sz w:val="21"/>
              </w:rPr>
              <w:t>5</w:t>
            </w:r>
            <w:r>
              <w:rPr>
                <w:sz w:val="21"/>
              </w:rPr>
              <w:t>）</w:t>
            </w:r>
            <w:r>
              <w:rPr>
                <w:sz w:val="21"/>
              </w:rPr>
              <w:t>监测数据有效性评价</w:t>
            </w:r>
          </w:p>
          <w:p>
            <w:pPr>
              <w:pStyle w:val="null3"/>
              <w:jc w:val="both"/>
            </w:pPr>
            <w:r>
              <w:rPr>
                <w:sz w:val="21"/>
              </w:rPr>
              <w:t>1</w:t>
            </w:r>
            <w:r>
              <w:rPr>
                <w:sz w:val="21"/>
              </w:rPr>
              <w:t>）</w:t>
            </w:r>
            <w:r>
              <w:rPr>
                <w:sz w:val="21"/>
              </w:rPr>
              <w:t>有效性评价</w:t>
            </w:r>
          </w:p>
          <w:p>
            <w:pPr>
              <w:pStyle w:val="null3"/>
              <w:jc w:val="both"/>
            </w:pPr>
            <w:r>
              <w:rPr>
                <w:sz w:val="21"/>
              </w:rPr>
              <w:t>a.</w:t>
            </w:r>
            <w:r>
              <w:rPr>
                <w:sz w:val="21"/>
              </w:rPr>
              <w:t>当</w:t>
            </w:r>
            <w:r>
              <w:rPr>
                <w:sz w:val="21"/>
              </w:rPr>
              <w:t>低浓度标样</w:t>
            </w:r>
            <w:r>
              <w:rPr>
                <w:sz w:val="21"/>
              </w:rPr>
              <w:t>核查、</w:t>
            </w:r>
            <w:r>
              <w:rPr>
                <w:sz w:val="21"/>
              </w:rPr>
              <w:t>24</w:t>
            </w:r>
            <w:r>
              <w:rPr>
                <w:sz w:val="21"/>
              </w:rPr>
              <w:t>小时</w:t>
            </w:r>
            <w:r>
              <w:rPr>
                <w:sz w:val="21"/>
              </w:rPr>
              <w:t>低浓度</w:t>
            </w:r>
            <w:r>
              <w:rPr>
                <w:sz w:val="21"/>
              </w:rPr>
              <w:t>漂移、</w:t>
            </w:r>
            <w:r>
              <w:rPr>
                <w:sz w:val="21"/>
              </w:rPr>
              <w:t>高浓度标样</w:t>
            </w:r>
            <w:r>
              <w:rPr>
                <w:sz w:val="21"/>
              </w:rPr>
              <w:t>核查、</w:t>
            </w:r>
            <w:r>
              <w:rPr>
                <w:sz w:val="21"/>
              </w:rPr>
              <w:t>24</w:t>
            </w:r>
            <w:r>
              <w:rPr>
                <w:sz w:val="21"/>
              </w:rPr>
              <w:t>小时</w:t>
            </w:r>
            <w:r>
              <w:rPr>
                <w:sz w:val="21"/>
              </w:rPr>
              <w:t>高浓度</w:t>
            </w:r>
            <w:r>
              <w:rPr>
                <w:sz w:val="21"/>
              </w:rPr>
              <w:t>漂移任意一项不满足表</w:t>
            </w:r>
            <w:r>
              <w:rPr>
                <w:sz w:val="21"/>
              </w:rPr>
              <w:t>2</w:t>
            </w:r>
            <w:r>
              <w:rPr>
                <w:sz w:val="21"/>
              </w:rPr>
              <w:t>要求时，则核查、漂移满足要求的前次和后次之间数据无效；</w:t>
            </w:r>
          </w:p>
          <w:p>
            <w:pPr>
              <w:pStyle w:val="null3"/>
              <w:jc w:val="both"/>
            </w:pPr>
            <w:r>
              <w:rPr>
                <w:sz w:val="21"/>
              </w:rPr>
              <w:t>b.</w:t>
            </w:r>
            <w:r>
              <w:rPr>
                <w:sz w:val="21"/>
              </w:rPr>
              <w:t>水站维护、水质自动分析仪故障和质控测试期间所有缺失的监测数据均视为无效数据；</w:t>
            </w:r>
          </w:p>
          <w:p>
            <w:pPr>
              <w:pStyle w:val="null3"/>
              <w:jc w:val="both"/>
            </w:pPr>
            <w:r>
              <w:rPr>
                <w:sz w:val="21"/>
              </w:rPr>
              <w:t>c.</w:t>
            </w:r>
            <w:r>
              <w:rPr>
                <w:sz w:val="21"/>
              </w:rPr>
              <w:t>当常规五参数标样核查结果不满足表</w:t>
            </w:r>
            <w:r>
              <w:rPr>
                <w:sz w:val="21"/>
              </w:rPr>
              <w:t>3</w:t>
            </w:r>
            <w:r>
              <w:rPr>
                <w:sz w:val="21"/>
              </w:rPr>
              <w:t>要求时，则下次至上次满足要求期间获取的监测数据为无效数据；</w:t>
            </w:r>
          </w:p>
          <w:p>
            <w:pPr>
              <w:pStyle w:val="null3"/>
              <w:jc w:val="both"/>
            </w:pPr>
            <w:r>
              <w:rPr>
                <w:sz w:val="21"/>
              </w:rPr>
              <w:t>d.</w:t>
            </w:r>
            <w:r>
              <w:rPr>
                <w:sz w:val="21"/>
              </w:rPr>
              <w:t>月质控（多点线性核查、实际水样比对、加标回收率自动测试、集成干预检查）不满足表</w:t>
            </w:r>
            <w:r>
              <w:rPr>
                <w:sz w:val="21"/>
              </w:rPr>
              <w:t>2</w:t>
            </w:r>
            <w:r>
              <w:rPr>
                <w:sz w:val="21"/>
              </w:rPr>
              <w:t>要求时，此次至下次满足要求期间获取的监测数据为无效数据。</w:t>
            </w:r>
          </w:p>
          <w:p>
            <w:pPr>
              <w:pStyle w:val="null3"/>
              <w:jc w:val="both"/>
            </w:pPr>
            <w:r>
              <w:rPr>
                <w:sz w:val="21"/>
              </w:rPr>
              <w:t>2</w:t>
            </w:r>
            <w:r>
              <w:rPr>
                <w:sz w:val="21"/>
              </w:rPr>
              <w:t>）</w:t>
            </w:r>
            <w:r>
              <w:rPr>
                <w:sz w:val="21"/>
              </w:rPr>
              <w:t>测试结果计算的修约标准</w:t>
            </w:r>
          </w:p>
          <w:p>
            <w:pPr>
              <w:pStyle w:val="null3"/>
              <w:jc w:val="both"/>
            </w:pPr>
            <w:r>
              <w:rPr>
                <w:sz w:val="21"/>
              </w:rPr>
              <w:t>在测试计算中，所有质控测试结果计算的修约方法遵守《数值修约规则与极限数值的表示和判定》要求，具体监测项目质控测试结果计算的小数位数见下表</w:t>
            </w:r>
            <w:r>
              <w:rPr>
                <w:sz w:val="21"/>
              </w:rPr>
              <w:t>4</w:t>
            </w:r>
            <w:r>
              <w:rPr>
                <w:sz w:val="21"/>
              </w:rPr>
              <w:t>。</w:t>
            </w:r>
          </w:p>
          <w:p>
            <w:pPr>
              <w:pStyle w:val="null3"/>
              <w:jc w:val="both"/>
            </w:pPr>
            <w:r>
              <w:rPr>
                <w:sz w:val="21"/>
              </w:rPr>
              <w:t>表</w:t>
            </w:r>
            <w:r>
              <w:rPr>
                <w:sz w:val="21"/>
              </w:rPr>
              <w:t>4</w:t>
            </w:r>
            <w:r>
              <w:rPr>
                <w:sz w:val="21"/>
              </w:rPr>
              <w:t>监测项目质控测试结果修约要求</w:t>
            </w:r>
          </w:p>
          <w:tbl>
            <w:tblPr>
              <w:tblInd w:type="dxa" w:w="225"/>
              <w:tblBorders>
                <w:top w:val="none" w:color="000000" w:sz="4"/>
                <w:left w:val="none" w:color="000000" w:sz="4"/>
                <w:bottom w:val="none" w:color="000000" w:sz="4"/>
                <w:right w:val="none" w:color="000000" w:sz="4"/>
                <w:insideH w:val="none"/>
                <w:insideV w:val="none"/>
              </w:tblBorders>
            </w:tblPr>
            <w:tblGrid>
              <w:gridCol w:w="1275"/>
              <w:gridCol w:w="2670"/>
              <w:gridCol w:w="1530"/>
            </w:tblGrid>
            <w:tr>
              <w:tc>
                <w:tcPr>
                  <w:tcW w:type="dxa" w:w="394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保留小数位数</w:t>
                  </w:r>
                </w:p>
              </w:tc>
            </w:tr>
            <w:tr>
              <w:tc>
                <w:tcPr>
                  <w:tcW w:type="dxa" w:w="3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w:t>
                  </w:r>
                  <w:r>
                    <w:rPr>
                      <w:sz w:val="21"/>
                    </w:rPr>
                    <w:t>）</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2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绝对误差</w:t>
                  </w: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水温（</w:t>
                  </w:r>
                  <w:r>
                    <w:rPr>
                      <w:sz w:val="21"/>
                    </w:rPr>
                    <w:t>℃）</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275"/>
                  <w:vMerge/>
                  <w:tcBorders>
                    <w:top w:val="none" w:color="000000" w:sz="4"/>
                    <w:left w:val="singl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r>
                    <w:rPr>
                      <w:sz w:val="21"/>
                    </w:rPr>
                    <w:t>（无量纲）</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275"/>
                  <w:vMerge/>
                  <w:tcBorders>
                    <w:top w:val="none" w:color="000000" w:sz="4"/>
                    <w:left w:val="singl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w:t>
                  </w:r>
                  <w:r>
                    <w:rPr>
                      <w:sz w:val="21"/>
                    </w:rPr>
                    <w:t>mg/L</w:t>
                  </w:r>
                  <w:r>
                    <w:rPr>
                      <w:sz w:val="21"/>
                    </w:rPr>
                    <w:t>）</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275"/>
                  <w:vMerge/>
                  <w:tcBorders>
                    <w:top w:val="none" w:color="000000" w:sz="4"/>
                    <w:left w:val="singl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μ</w:t>
                  </w:r>
                  <w:r>
                    <w:rPr>
                      <w:sz w:val="21"/>
                    </w:rPr>
                    <w:t>S/cm</w:t>
                  </w:r>
                  <w:r>
                    <w:rPr>
                      <w:sz w:val="21"/>
                    </w:rPr>
                    <w:t>）</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275"/>
                  <w:vMerge/>
                  <w:tcBorders>
                    <w:top w:val="none" w:color="000000" w:sz="4"/>
                    <w:left w:val="singl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w:t>
                  </w:r>
                  <w:r>
                    <w:rPr>
                      <w:sz w:val="21"/>
                    </w:rPr>
                    <w:t>NTU</w:t>
                  </w:r>
                  <w:r>
                    <w:rPr>
                      <w:sz w:val="21"/>
                    </w:rPr>
                    <w:t>）</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275"/>
                  <w:vMerge/>
                  <w:tcBorders>
                    <w:top w:val="none" w:color="000000" w:sz="4"/>
                    <w:left w:val="singl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w:t>
                  </w:r>
                  <w:r>
                    <w:rPr>
                      <w:sz w:val="21"/>
                    </w:rPr>
                    <w:t>mg/L</w:t>
                  </w:r>
                  <w:r>
                    <w:rPr>
                      <w:sz w:val="21"/>
                    </w:rPr>
                    <w:t>）</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275"/>
                  <w:vMerge/>
                  <w:tcBorders>
                    <w:top w:val="none" w:color="000000" w:sz="4"/>
                    <w:left w:val="singl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w:t>
                  </w:r>
                  <w:r>
                    <w:rPr>
                      <w:sz w:val="21"/>
                    </w:rPr>
                    <w:t>mg/L</w:t>
                  </w:r>
                  <w:r>
                    <w:rPr>
                      <w:sz w:val="21"/>
                    </w:rPr>
                    <w:t>）</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275"/>
                  <w:vMerge/>
                  <w:tcBorders>
                    <w:top w:val="none" w:color="000000" w:sz="4"/>
                    <w:left w:val="singl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r>
                    <w:rPr>
                      <w:sz w:val="21"/>
                    </w:rPr>
                    <w:t>mg/L</w:t>
                  </w:r>
                  <w:r>
                    <w:rPr>
                      <w:sz w:val="21"/>
                    </w:rPr>
                    <w:t>）</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r>
                    <w:rPr>
                      <w:sz w:val="21"/>
                    </w:rPr>
                    <w:t>%</w:t>
                  </w:r>
                  <w:r>
                    <w:rPr>
                      <w:sz w:val="21"/>
                    </w:rPr>
                    <w:t>）</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sz w:val="21"/>
              </w:rPr>
              <w:t>3</w:t>
            </w:r>
            <w:r>
              <w:rPr>
                <w:sz w:val="21"/>
              </w:rPr>
              <w:t>）</w:t>
            </w:r>
            <w:r>
              <w:rPr>
                <w:sz w:val="21"/>
              </w:rPr>
              <w:t>数据有效率计算</w:t>
            </w:r>
          </w:p>
          <w:p>
            <w:pPr>
              <w:pStyle w:val="null3"/>
              <w:jc w:val="both"/>
            </w:pPr>
            <w:r>
              <w:rPr>
                <w:sz w:val="21"/>
              </w:rPr>
              <w:t>①　数据有效率计算如下：（应获取数据</w:t>
            </w:r>
            <w:r>
              <w:rPr>
                <w:sz w:val="21"/>
              </w:rPr>
              <w:t>-</w:t>
            </w:r>
            <w:r>
              <w:rPr>
                <w:sz w:val="21"/>
              </w:rPr>
              <w:t>无效数据）</w:t>
            </w:r>
            <w:r>
              <w:rPr>
                <w:sz w:val="21"/>
              </w:rPr>
              <w:t>/</w:t>
            </w:r>
            <w:r>
              <w:rPr>
                <w:sz w:val="21"/>
              </w:rPr>
              <w:t>应获取数据×</w:t>
            </w:r>
            <w:r>
              <w:rPr>
                <w:sz w:val="21"/>
              </w:rPr>
              <w:t>100%</w:t>
            </w:r>
            <w:r>
              <w:rPr>
                <w:sz w:val="21"/>
              </w:rPr>
              <w:t>；</w:t>
            </w:r>
          </w:p>
          <w:p>
            <w:pPr>
              <w:pStyle w:val="null3"/>
              <w:jc w:val="both"/>
            </w:pPr>
            <w:r>
              <w:rPr>
                <w:sz w:val="21"/>
              </w:rPr>
              <w:t>②　应获取数据：常规五参数每小时</w:t>
            </w:r>
            <w:r>
              <w:rPr>
                <w:sz w:val="21"/>
              </w:rPr>
              <w:t>1</w:t>
            </w:r>
            <w:r>
              <w:rPr>
                <w:sz w:val="21"/>
              </w:rPr>
              <w:t>个，其他参数每</w:t>
            </w:r>
            <w:r>
              <w:rPr>
                <w:sz w:val="21"/>
              </w:rPr>
              <w:t>4</w:t>
            </w:r>
            <w:r>
              <w:rPr>
                <w:sz w:val="21"/>
              </w:rPr>
              <w:t>小时</w:t>
            </w:r>
            <w:r>
              <w:rPr>
                <w:sz w:val="21"/>
              </w:rPr>
              <w:t>1</w:t>
            </w:r>
            <w:r>
              <w:rPr>
                <w:sz w:val="21"/>
              </w:rPr>
              <w:t>个。</w:t>
            </w:r>
          </w:p>
          <w:p>
            <w:pPr>
              <w:pStyle w:val="null3"/>
              <w:jc w:val="both"/>
            </w:pPr>
            <w:r>
              <w:rPr>
                <w:sz w:val="21"/>
              </w:rPr>
              <w:t>③　运行维护</w:t>
            </w:r>
          </w:p>
          <w:p>
            <w:pPr>
              <w:pStyle w:val="null3"/>
              <w:jc w:val="both"/>
            </w:pPr>
            <w:r>
              <w:rPr>
                <w:sz w:val="21"/>
              </w:rPr>
              <w:t>（</w:t>
            </w:r>
            <w:r>
              <w:rPr>
                <w:sz w:val="21"/>
              </w:rPr>
              <w:t>6</w:t>
            </w:r>
            <w:r>
              <w:rPr>
                <w:sz w:val="21"/>
              </w:rPr>
              <w:t>）</w:t>
            </w:r>
            <w:r>
              <w:rPr>
                <w:sz w:val="21"/>
              </w:rPr>
              <w:t>远程维护</w:t>
            </w:r>
          </w:p>
          <w:p>
            <w:pPr>
              <w:pStyle w:val="null3"/>
              <w:jc w:val="both"/>
            </w:pPr>
            <w:r>
              <w:rPr>
                <w:sz w:val="21"/>
              </w:rPr>
              <w:t>中标人的运维人员应每天通过平台查看监测数据，对水站运行状态和数据质量进行相应判断，对站点的运维情况及相关信息进行统计和评价，包括运维巡检频次、质控频次、故障响应情况、超标响应情况等信息统计，结合数据获取率、数据有效率等对水站的运行维护情况进行评价。</w:t>
            </w:r>
          </w:p>
          <w:p>
            <w:pPr>
              <w:pStyle w:val="null3"/>
              <w:jc w:val="both"/>
            </w:pPr>
            <w:r>
              <w:rPr>
                <w:sz w:val="21"/>
              </w:rPr>
              <w:t>1</w:t>
            </w:r>
            <w:r>
              <w:rPr>
                <w:sz w:val="21"/>
              </w:rPr>
              <w:t>）</w:t>
            </w:r>
            <w:r>
              <w:rPr>
                <w:sz w:val="21"/>
              </w:rPr>
              <w:t>远程巡视</w:t>
            </w:r>
          </w:p>
          <w:p>
            <w:pPr>
              <w:pStyle w:val="null3"/>
              <w:jc w:val="both"/>
            </w:pPr>
            <w:r>
              <w:rPr>
                <w:sz w:val="21"/>
              </w:rPr>
              <w:t>每日对水站运行条件及设备运行状况进行远程查看，具体工作如下</w:t>
            </w:r>
            <w:r>
              <w:rPr>
                <w:sz w:val="21"/>
              </w:rPr>
              <w:t>:</w:t>
            </w:r>
          </w:p>
          <w:p>
            <w:pPr>
              <w:pStyle w:val="null3"/>
              <w:jc w:val="both"/>
            </w:pPr>
            <w:r>
              <w:rPr>
                <w:sz w:val="21"/>
              </w:rPr>
              <w:t>①　检查数据采集与传输状况，确认</w:t>
            </w:r>
            <w:r>
              <w:rPr>
                <w:sz w:val="21"/>
              </w:rPr>
              <w:t>监测数据和运行日志是否完整</w:t>
            </w:r>
            <w:r>
              <w:rPr>
                <w:sz w:val="21"/>
              </w:rPr>
              <w:t>；</w:t>
            </w:r>
          </w:p>
          <w:p>
            <w:pPr>
              <w:pStyle w:val="null3"/>
              <w:jc w:val="both"/>
            </w:pPr>
            <w:r>
              <w:rPr>
                <w:sz w:val="21"/>
              </w:rPr>
              <w:t>②　根据仪器质控结果、</w:t>
            </w:r>
            <w:r>
              <w:rPr>
                <w:sz w:val="21"/>
              </w:rPr>
              <w:t>运行</w:t>
            </w:r>
            <w:r>
              <w:rPr>
                <w:sz w:val="21"/>
              </w:rPr>
              <w:t>日志</w:t>
            </w:r>
            <w:r>
              <w:rPr>
                <w:sz w:val="21"/>
              </w:rPr>
              <w:t>等信息，</w:t>
            </w:r>
            <w:r>
              <w:rPr>
                <w:sz w:val="21"/>
              </w:rPr>
              <w:t>判断</w:t>
            </w:r>
            <w:r>
              <w:rPr>
                <w:sz w:val="21"/>
              </w:rPr>
              <w:t>水站运行</w:t>
            </w:r>
            <w:r>
              <w:rPr>
                <w:sz w:val="21"/>
              </w:rPr>
              <w:t>运行情况及数据的可靠性；</w:t>
            </w:r>
          </w:p>
          <w:p>
            <w:pPr>
              <w:pStyle w:val="null3"/>
              <w:jc w:val="both"/>
            </w:pPr>
            <w:r>
              <w:rPr>
                <w:sz w:val="21"/>
              </w:rPr>
              <w:t>③　对前一天监测数据有效性进行审核并对异常数据进行标记，</w:t>
            </w:r>
            <w:r>
              <w:rPr>
                <w:sz w:val="21"/>
              </w:rPr>
              <w:t>异常数据判定依据见（</w:t>
            </w:r>
            <w:r>
              <w:rPr>
                <w:sz w:val="21"/>
              </w:rPr>
              <w:t>8</w:t>
            </w:r>
            <w:r>
              <w:rPr>
                <w:sz w:val="21"/>
              </w:rPr>
              <w:t>）异常情况处置要求</w:t>
            </w:r>
            <w:r>
              <w:rPr>
                <w:sz w:val="21"/>
              </w:rPr>
              <w:t>；</w:t>
            </w:r>
          </w:p>
          <w:p>
            <w:pPr>
              <w:pStyle w:val="null3"/>
              <w:jc w:val="both"/>
            </w:pPr>
            <w:r>
              <w:rPr>
                <w:sz w:val="21"/>
              </w:rPr>
              <w:t>④　</w:t>
            </w:r>
            <w:r>
              <w:rPr>
                <w:sz w:val="21"/>
              </w:rPr>
              <w:t>出现异常数据时，远程或自动对监测仪器开展校时、复位、水样</w:t>
            </w:r>
            <w:r>
              <w:rPr>
                <w:sz w:val="21"/>
              </w:rPr>
              <w:t>/</w:t>
            </w:r>
            <w:r>
              <w:rPr>
                <w:sz w:val="21"/>
              </w:rPr>
              <w:t>标样测试、校准等维护工作。</w:t>
            </w:r>
          </w:p>
          <w:p>
            <w:pPr>
              <w:pStyle w:val="null3"/>
              <w:jc w:val="both"/>
            </w:pPr>
            <w:r>
              <w:rPr>
                <w:sz w:val="21"/>
              </w:rPr>
              <w:t>⑤  远程查看采水设施、水位以及站房内外情况，如发现异常，应及时报告和处置，必要时前往现场确认和维护</w:t>
            </w:r>
            <w:r>
              <w:rPr>
                <w:sz w:val="21"/>
              </w:rPr>
              <w:t>；</w:t>
            </w:r>
          </w:p>
          <w:p>
            <w:pPr>
              <w:pStyle w:val="null3"/>
              <w:jc w:val="both"/>
            </w:pPr>
            <w:r>
              <w:rPr>
                <w:sz w:val="21"/>
              </w:rPr>
              <w:t>⑤　</w:t>
            </w:r>
            <w:r>
              <w:rPr>
                <w:sz w:val="21"/>
              </w:rPr>
              <w:t>根据测试结果综合判断数据有效性，确定水质发生重大变化或仪器设备保障，应及时报告和处置，必要时前往现场确认和维护</w:t>
            </w:r>
            <w:r>
              <w:rPr>
                <w:sz w:val="21"/>
              </w:rPr>
              <w:t>。</w:t>
            </w:r>
          </w:p>
          <w:p>
            <w:pPr>
              <w:pStyle w:val="null3"/>
              <w:jc w:val="both"/>
            </w:pPr>
            <w:r>
              <w:rPr>
                <w:sz w:val="21"/>
              </w:rPr>
              <w:t>（</w:t>
            </w:r>
            <w:r>
              <w:rPr>
                <w:sz w:val="21"/>
              </w:rPr>
              <w:t>7</w:t>
            </w:r>
            <w:r>
              <w:rPr>
                <w:sz w:val="21"/>
              </w:rPr>
              <w:t>）</w:t>
            </w:r>
            <w:r>
              <w:rPr>
                <w:sz w:val="21"/>
              </w:rPr>
              <w:t>例行</w:t>
            </w:r>
            <w:r>
              <w:rPr>
                <w:sz w:val="21"/>
              </w:rPr>
              <w:t>维护</w:t>
            </w:r>
          </w:p>
          <w:p>
            <w:pPr>
              <w:pStyle w:val="null3"/>
              <w:jc w:val="both"/>
            </w:pPr>
            <w:r>
              <w:rPr>
                <w:sz w:val="21"/>
              </w:rPr>
              <w:t>现场维护包括由运维技术人员到水质自动监测站现场完成的例行巡检、定期养护和现场质控工作。中标人需中标后在项目运维地设立备机备件库。</w:t>
            </w:r>
          </w:p>
          <w:p>
            <w:pPr>
              <w:pStyle w:val="null3"/>
              <w:jc w:val="both"/>
            </w:pPr>
            <w:r>
              <w:rPr>
                <w:sz w:val="21"/>
              </w:rPr>
              <w:t>1</w:t>
            </w:r>
            <w:r>
              <w:rPr>
                <w:sz w:val="21"/>
              </w:rPr>
              <w:t>）</w:t>
            </w:r>
            <w:r>
              <w:rPr>
                <w:sz w:val="21"/>
              </w:rPr>
              <w:t>每周应按照一下要求采用人工或自动等方式开展维护：</w:t>
            </w:r>
          </w:p>
          <w:p>
            <w:pPr>
              <w:pStyle w:val="null3"/>
              <w:jc w:val="both"/>
            </w:pPr>
            <w:r>
              <w:rPr>
                <w:sz w:val="21"/>
              </w:rPr>
              <w:t>a</w:t>
            </w:r>
            <w:r>
              <w:rPr>
                <w:sz w:val="21"/>
              </w:rPr>
              <w:t>）检査采水点周边环境，记录水体颜色、嗅味、水位变化等情况，及时清理漂浮物等杂物；当水位发生较大变化时应调整采水口位置以保障采水正常；在封冻期前做好采排水管路和站房保温等维护工作；</w:t>
            </w:r>
          </w:p>
          <w:p>
            <w:pPr>
              <w:pStyle w:val="null3"/>
              <w:jc w:val="both"/>
            </w:pPr>
            <w:r>
              <w:rPr>
                <w:sz w:val="21"/>
              </w:rPr>
              <w:t>b</w:t>
            </w:r>
            <w:r>
              <w:rPr>
                <w:sz w:val="21"/>
              </w:rPr>
              <w:t>）通过回看视频确认采水设施，站房是否存在异常情况；</w:t>
            </w:r>
          </w:p>
          <w:p>
            <w:pPr>
              <w:pStyle w:val="null3"/>
              <w:jc w:val="both"/>
            </w:pPr>
            <w:r>
              <w:rPr>
                <w:sz w:val="21"/>
              </w:rPr>
              <w:t>c</w:t>
            </w:r>
            <w:r>
              <w:rPr>
                <w:sz w:val="21"/>
              </w:rPr>
              <w:t>） 查看站房内外运行环境</w:t>
            </w:r>
            <w:r>
              <w:rPr>
                <w:sz w:val="21"/>
              </w:rPr>
              <w:t>,</w:t>
            </w:r>
            <w:r>
              <w:rPr>
                <w:sz w:val="21"/>
              </w:rPr>
              <w:t>确认室内温度、湿度等条件是否满足要求</w:t>
            </w:r>
            <w:r>
              <w:rPr>
                <w:sz w:val="21"/>
              </w:rPr>
              <w:t>,</w:t>
            </w:r>
            <w:r>
              <w:rPr>
                <w:sz w:val="21"/>
              </w:rPr>
              <w:t>保持站房内干净整洁，检查站房外部安防等设施是否正常。</w:t>
            </w:r>
          </w:p>
          <w:p>
            <w:pPr>
              <w:pStyle w:val="null3"/>
              <w:jc w:val="both"/>
            </w:pPr>
            <w:r>
              <w:rPr>
                <w:sz w:val="21"/>
              </w:rPr>
              <w:t xml:space="preserve">d) </w:t>
            </w:r>
            <w:r>
              <w:rPr>
                <w:sz w:val="21"/>
              </w:rPr>
              <w:t>检査采配水单元是否正常，包括采水浮筒固定情况、采水泵、增压泵、空气泵、手阀、电动阀工作状态以及采排水管路是否存在漏液或堵塞情况，必要时应清洗并排除故障；</w:t>
            </w:r>
          </w:p>
          <w:p>
            <w:pPr>
              <w:pStyle w:val="null3"/>
              <w:jc w:val="both"/>
            </w:pPr>
            <w:r>
              <w:rPr>
                <w:sz w:val="21"/>
              </w:rPr>
              <w:t>e</w:t>
            </w:r>
            <w:r>
              <w:rPr>
                <w:sz w:val="21"/>
              </w:rPr>
              <w:t>） 查看水质自动监测仪器及空压机、不间断电源</w:t>
            </w:r>
            <w:r>
              <w:rPr>
                <w:sz w:val="21"/>
              </w:rPr>
              <w:t>(UPS)</w:t>
            </w:r>
            <w:r>
              <w:rPr>
                <w:sz w:val="21"/>
              </w:rPr>
              <w:t>、除藻装置、纯水机等辅助设备是否正常，必要时应更换耗材；</w:t>
            </w:r>
          </w:p>
          <w:p>
            <w:pPr>
              <w:pStyle w:val="null3"/>
              <w:jc w:val="both"/>
            </w:pPr>
            <w:r>
              <w:rPr>
                <w:sz w:val="21"/>
              </w:rPr>
              <w:t>f</w:t>
            </w:r>
            <w:r>
              <w:rPr>
                <w:sz w:val="21"/>
              </w:rPr>
              <w:t>）启动水质自动采样器，检查水质自动采样器工作状态；</w:t>
            </w:r>
          </w:p>
          <w:p>
            <w:pPr>
              <w:pStyle w:val="null3"/>
              <w:jc w:val="both"/>
            </w:pPr>
            <w:r>
              <w:rPr>
                <w:sz w:val="21"/>
              </w:rPr>
              <w:t>g</w:t>
            </w:r>
            <w:r>
              <w:rPr>
                <w:sz w:val="21"/>
              </w:rPr>
              <w:t>）检查水质自动监测仪器、控制单元、监控中心平台三者监测数据和运行日志是否一致；</w:t>
            </w:r>
          </w:p>
          <w:p>
            <w:pPr>
              <w:pStyle w:val="null3"/>
              <w:jc w:val="both"/>
            </w:pPr>
            <w:r>
              <w:rPr>
                <w:sz w:val="21"/>
              </w:rPr>
              <w:t>h</w:t>
            </w:r>
            <w:r>
              <w:rPr>
                <w:sz w:val="21"/>
              </w:rPr>
              <w:t>）查看试剂使用状况，及时添加或更换试剂，试剂使用时间最长不超过</w:t>
            </w:r>
            <w:r>
              <w:rPr>
                <w:sz w:val="21"/>
              </w:rPr>
              <w:t>90</w:t>
            </w:r>
            <w:r>
              <w:rPr>
                <w:sz w:val="21"/>
              </w:rPr>
              <w:t>天；</w:t>
            </w:r>
          </w:p>
          <w:p>
            <w:pPr>
              <w:pStyle w:val="null3"/>
              <w:jc w:val="both"/>
            </w:pPr>
            <w:r>
              <w:rPr>
                <w:sz w:val="21"/>
              </w:rPr>
              <w:t>i</w:t>
            </w:r>
            <w:r>
              <w:rPr>
                <w:sz w:val="21"/>
              </w:rPr>
              <w:t>）查看废液收集情况，避免出现泄漏等情况；</w:t>
            </w:r>
          </w:p>
          <w:p>
            <w:pPr>
              <w:pStyle w:val="null3"/>
              <w:jc w:val="both"/>
            </w:pPr>
            <w:r>
              <w:rPr>
                <w:sz w:val="21"/>
              </w:rPr>
              <w:t>j</w:t>
            </w:r>
            <w:r>
              <w:rPr>
                <w:sz w:val="21"/>
              </w:rPr>
              <w:t>）应及时清除</w:t>
            </w:r>
            <w:r>
              <w:rPr>
                <w:sz w:val="21"/>
              </w:rPr>
              <w:t>站房周围的杂草和积水，站房是否有漏水现象，检查防雷设施是否可靠，站房外围的其他设施是否有损坏或被水淹没</w:t>
            </w:r>
            <w:r>
              <w:rPr>
                <w:sz w:val="21"/>
              </w:rPr>
              <w:t>。</w:t>
            </w:r>
          </w:p>
          <w:p>
            <w:pPr>
              <w:pStyle w:val="null3"/>
              <w:jc w:val="both"/>
            </w:pPr>
            <w:r>
              <w:rPr>
                <w:sz w:val="21"/>
              </w:rPr>
              <w:t>2</w:t>
            </w:r>
            <w:r>
              <w:rPr>
                <w:sz w:val="21"/>
              </w:rPr>
              <w:t>）每月应按照一下要求采用人工或自动方式开展维护：</w:t>
            </w:r>
          </w:p>
          <w:p>
            <w:pPr>
              <w:pStyle w:val="null3"/>
              <w:jc w:val="both"/>
            </w:pPr>
            <w:r>
              <w:rPr>
                <w:sz w:val="21"/>
              </w:rPr>
              <w:t>a</w:t>
            </w:r>
            <w:r>
              <w:rPr>
                <w:sz w:val="21"/>
              </w:rPr>
              <w:t>）</w:t>
            </w:r>
            <w:r>
              <w:rPr>
                <w:sz w:val="21"/>
              </w:rPr>
              <w:t>清洗采水单元、配水与预处理单元</w:t>
            </w:r>
            <w:r>
              <w:rPr>
                <w:sz w:val="21"/>
              </w:rPr>
              <w:t>；</w:t>
            </w:r>
          </w:p>
          <w:p>
            <w:pPr>
              <w:pStyle w:val="null3"/>
              <w:jc w:val="both"/>
            </w:pPr>
            <w:r>
              <w:rPr>
                <w:sz w:val="21"/>
              </w:rPr>
              <w:t>b</w:t>
            </w:r>
            <w:r>
              <w:rPr>
                <w:sz w:val="21"/>
              </w:rPr>
              <w:t>）</w:t>
            </w:r>
            <w:r>
              <w:rPr>
                <w:sz w:val="21"/>
              </w:rPr>
              <w:t>备份与存储监测数据</w:t>
            </w:r>
            <w:r>
              <w:rPr>
                <w:sz w:val="21"/>
              </w:rPr>
              <w:t>，</w:t>
            </w:r>
            <w:r>
              <w:rPr>
                <w:sz w:val="21"/>
              </w:rPr>
              <w:t>备份时间应不低于</w:t>
            </w:r>
            <w:r>
              <w:rPr>
                <w:sz w:val="21"/>
              </w:rPr>
              <w:t>3</w:t>
            </w:r>
            <w:r>
              <w:rPr>
                <w:sz w:val="21"/>
              </w:rPr>
              <w:t>年</w:t>
            </w:r>
            <w:r>
              <w:rPr>
                <w:sz w:val="21"/>
              </w:rPr>
              <w:t>；</w:t>
            </w:r>
          </w:p>
          <w:p>
            <w:pPr>
              <w:pStyle w:val="null3"/>
              <w:jc w:val="both"/>
            </w:pPr>
            <w:r>
              <w:rPr>
                <w:sz w:val="21"/>
              </w:rPr>
              <w:t>c</w:t>
            </w:r>
            <w:r>
              <w:rPr>
                <w:sz w:val="21"/>
              </w:rPr>
              <w:t>）</w:t>
            </w:r>
            <w:r>
              <w:rPr>
                <w:sz w:val="21"/>
              </w:rPr>
              <w:t>检查稳压电源及不间断电源</w:t>
            </w:r>
            <w:r>
              <w:rPr>
                <w:sz w:val="21"/>
              </w:rPr>
              <w:t>（</w:t>
            </w:r>
            <w:r>
              <w:rPr>
                <w:sz w:val="21"/>
              </w:rPr>
              <w:t>UPS</w:t>
            </w:r>
            <w:r>
              <w:rPr>
                <w:sz w:val="21"/>
              </w:rPr>
              <w:t>）</w:t>
            </w:r>
            <w:r>
              <w:rPr>
                <w:sz w:val="21"/>
              </w:rPr>
              <w:t>输出是否符合要求</w:t>
            </w:r>
            <w:r>
              <w:rPr>
                <w:sz w:val="21"/>
              </w:rPr>
              <w:t>；</w:t>
            </w:r>
          </w:p>
          <w:p>
            <w:pPr>
              <w:pStyle w:val="null3"/>
              <w:jc w:val="both"/>
            </w:pPr>
            <w:r>
              <w:rPr>
                <w:sz w:val="21"/>
              </w:rPr>
              <w:t>d</w:t>
            </w:r>
            <w:r>
              <w:rPr>
                <w:sz w:val="21"/>
              </w:rPr>
              <w:t>）</w:t>
            </w:r>
            <w:r>
              <w:rPr>
                <w:sz w:val="21"/>
              </w:rPr>
              <w:t>检查视频设备功能是否正常</w:t>
            </w:r>
            <w:r>
              <w:rPr>
                <w:sz w:val="21"/>
              </w:rPr>
              <w:t>，</w:t>
            </w:r>
            <w:r>
              <w:rPr>
                <w:sz w:val="21"/>
              </w:rPr>
              <w:t>发现问题应及时处置</w:t>
            </w:r>
            <w:r>
              <w:rPr>
                <w:sz w:val="21"/>
              </w:rPr>
              <w:t>；</w:t>
            </w:r>
          </w:p>
          <w:p>
            <w:pPr>
              <w:pStyle w:val="null3"/>
              <w:jc w:val="both"/>
            </w:pPr>
            <w:r>
              <w:rPr>
                <w:sz w:val="21"/>
              </w:rPr>
              <w:t>e</w:t>
            </w:r>
            <w:r>
              <w:rPr>
                <w:sz w:val="21"/>
              </w:rPr>
              <w:t>）</w:t>
            </w:r>
            <w:r>
              <w:rPr>
                <w:sz w:val="21"/>
              </w:rPr>
              <w:t>检查空气压缩机和清水增压泵的工作状态</w:t>
            </w:r>
            <w:r>
              <w:rPr>
                <w:sz w:val="21"/>
              </w:rPr>
              <w:t>。</w:t>
            </w:r>
          </w:p>
          <w:p>
            <w:pPr>
              <w:pStyle w:val="null3"/>
              <w:jc w:val="both"/>
            </w:pPr>
            <w:r>
              <w:rPr>
                <w:sz w:val="21"/>
              </w:rPr>
              <w:t>3</w:t>
            </w:r>
            <w:r>
              <w:rPr>
                <w:sz w:val="21"/>
              </w:rPr>
              <w:t>）</w:t>
            </w:r>
            <w:r>
              <w:rPr>
                <w:sz w:val="21"/>
              </w:rPr>
              <w:t>每季度应按照以下要求采用人工或自动等方式开展维护</w:t>
            </w:r>
            <w:r>
              <w:rPr>
                <w:sz w:val="21"/>
              </w:rPr>
              <w:t>：</w:t>
            </w:r>
          </w:p>
          <w:p>
            <w:pPr>
              <w:pStyle w:val="null3"/>
              <w:jc w:val="both"/>
            </w:pPr>
            <w:r>
              <w:rPr>
                <w:sz w:val="21"/>
              </w:rPr>
              <w:t>a</w:t>
            </w:r>
            <w:r>
              <w:rPr>
                <w:sz w:val="21"/>
              </w:rPr>
              <w:t>）</w:t>
            </w:r>
            <w:r>
              <w:rPr>
                <w:sz w:val="21"/>
              </w:rPr>
              <w:t>启停各泵、阀</w:t>
            </w:r>
            <w:r>
              <w:rPr>
                <w:sz w:val="21"/>
              </w:rPr>
              <w:t>，</w:t>
            </w:r>
            <w:r>
              <w:rPr>
                <w:sz w:val="21"/>
              </w:rPr>
              <w:t>检查工作状态是否正常</w:t>
            </w:r>
            <w:r>
              <w:rPr>
                <w:sz w:val="21"/>
              </w:rPr>
              <w:t>；</w:t>
            </w:r>
          </w:p>
          <w:p>
            <w:pPr>
              <w:pStyle w:val="null3"/>
              <w:jc w:val="both"/>
            </w:pPr>
            <w:r>
              <w:rPr>
                <w:sz w:val="21"/>
              </w:rPr>
              <w:t>b</w:t>
            </w:r>
            <w:r>
              <w:rPr>
                <w:sz w:val="21"/>
              </w:rPr>
              <w:t>）</w:t>
            </w:r>
            <w:r>
              <w:rPr>
                <w:sz w:val="21"/>
              </w:rPr>
              <w:t>检查控制单元软硬件运行状态是否正常</w:t>
            </w:r>
            <w:r>
              <w:rPr>
                <w:sz w:val="21"/>
              </w:rPr>
              <w:t>。</w:t>
            </w:r>
          </w:p>
          <w:p>
            <w:pPr>
              <w:pStyle w:val="null3"/>
              <w:jc w:val="both"/>
            </w:pPr>
            <w:r>
              <w:rPr>
                <w:sz w:val="21"/>
              </w:rPr>
              <w:t>4</w:t>
            </w:r>
            <w:r>
              <w:rPr>
                <w:sz w:val="21"/>
              </w:rPr>
              <w:t>）</w:t>
            </w:r>
            <w:r>
              <w:rPr>
                <w:sz w:val="21"/>
              </w:rPr>
              <w:t>每年应按照以下要求开展维护</w:t>
            </w:r>
            <w:r>
              <w:rPr>
                <w:sz w:val="21"/>
              </w:rPr>
              <w:t>：</w:t>
            </w:r>
          </w:p>
          <w:p>
            <w:pPr>
              <w:pStyle w:val="null3"/>
              <w:jc w:val="both"/>
            </w:pPr>
            <w:r>
              <w:rPr>
                <w:sz w:val="21"/>
              </w:rPr>
              <w:t>a</w:t>
            </w:r>
            <w:r>
              <w:rPr>
                <w:sz w:val="21"/>
              </w:rPr>
              <w:t>）</w:t>
            </w:r>
            <w:r>
              <w:rPr>
                <w:sz w:val="21"/>
              </w:rPr>
              <w:t>对站房及仪器设备开展全面养护</w:t>
            </w:r>
            <w:r>
              <w:rPr>
                <w:sz w:val="21"/>
              </w:rPr>
              <w:t>；</w:t>
            </w:r>
          </w:p>
          <w:p>
            <w:pPr>
              <w:pStyle w:val="null3"/>
              <w:jc w:val="both"/>
            </w:pPr>
            <w:r>
              <w:rPr>
                <w:sz w:val="21"/>
              </w:rPr>
              <w:t>b</w:t>
            </w:r>
            <w:r>
              <w:rPr>
                <w:sz w:val="21"/>
              </w:rPr>
              <w:t>）</w:t>
            </w:r>
            <w:r>
              <w:rPr>
                <w:sz w:val="21"/>
              </w:rPr>
              <w:t>按要求更换站房内消防装置</w:t>
            </w:r>
            <w:r>
              <w:rPr>
                <w:sz w:val="21"/>
              </w:rPr>
              <w:t>，</w:t>
            </w:r>
            <w:r>
              <w:rPr>
                <w:sz w:val="21"/>
              </w:rPr>
              <w:t>通过具有资质的专业机构对防雷设施进行检测</w:t>
            </w:r>
            <w:r>
              <w:rPr>
                <w:sz w:val="21"/>
              </w:rPr>
              <w:t>、</w:t>
            </w:r>
            <w:r>
              <w:rPr>
                <w:sz w:val="21"/>
              </w:rPr>
              <w:t>维护或更换</w:t>
            </w:r>
            <w:r>
              <w:rPr>
                <w:sz w:val="21"/>
              </w:rPr>
              <w:t>，</w:t>
            </w:r>
            <w:r>
              <w:rPr>
                <w:sz w:val="21"/>
              </w:rPr>
              <w:t>并出具报告</w:t>
            </w:r>
            <w:r>
              <w:rPr>
                <w:sz w:val="21"/>
              </w:rPr>
              <w:t>。</w:t>
            </w:r>
          </w:p>
          <w:p>
            <w:pPr>
              <w:pStyle w:val="null3"/>
              <w:jc w:val="both"/>
            </w:pPr>
            <w:r>
              <w:rPr>
                <w:sz w:val="21"/>
              </w:rPr>
              <w:t>5</w:t>
            </w:r>
            <w:r>
              <w:rPr>
                <w:sz w:val="21"/>
              </w:rPr>
              <w:t>）</w:t>
            </w:r>
            <w:r>
              <w:rPr>
                <w:sz w:val="21"/>
              </w:rPr>
              <w:t>根据要求或结合实际运行情况</w:t>
            </w:r>
            <w:r>
              <w:rPr>
                <w:sz w:val="21"/>
              </w:rPr>
              <w:t>，</w:t>
            </w:r>
            <w:r>
              <w:rPr>
                <w:sz w:val="21"/>
              </w:rPr>
              <w:t>定期更换光源、电极、泵、阀、传感器等关键零部件及泵管等易耗品</w:t>
            </w:r>
            <w:r>
              <w:rPr>
                <w:sz w:val="21"/>
              </w:rPr>
              <w:t>。</w:t>
            </w:r>
          </w:p>
          <w:p>
            <w:pPr>
              <w:pStyle w:val="null3"/>
              <w:jc w:val="both"/>
            </w:pPr>
            <w:r>
              <w:rPr>
                <w:sz w:val="21"/>
              </w:rPr>
              <w:t>（</w:t>
            </w:r>
            <w:r>
              <w:rPr>
                <w:sz w:val="21"/>
              </w:rPr>
              <w:t>8</w:t>
            </w:r>
            <w:r>
              <w:rPr>
                <w:sz w:val="21"/>
              </w:rPr>
              <w:t>）</w:t>
            </w:r>
            <w:r>
              <w:rPr>
                <w:sz w:val="21"/>
              </w:rPr>
              <w:t>异常情况处置要求</w:t>
            </w:r>
          </w:p>
          <w:p>
            <w:pPr>
              <w:pStyle w:val="null3"/>
              <w:jc w:val="both"/>
            </w:pPr>
            <w:r>
              <w:rPr>
                <w:sz w:val="21"/>
              </w:rPr>
              <w:t>1</w:t>
            </w:r>
            <w:r>
              <w:rPr>
                <w:sz w:val="21"/>
              </w:rPr>
              <w:t>）</w:t>
            </w:r>
            <w:r>
              <w:rPr>
                <w:sz w:val="21"/>
              </w:rPr>
              <w:t>异常</w:t>
            </w:r>
            <w:r>
              <w:rPr>
                <w:sz w:val="21"/>
              </w:rPr>
              <w:t>情况判定</w:t>
            </w:r>
          </w:p>
          <w:p>
            <w:pPr>
              <w:pStyle w:val="null3"/>
              <w:jc w:val="both"/>
            </w:pPr>
            <w:r>
              <w:rPr>
                <w:sz w:val="21"/>
              </w:rPr>
              <w:t>出现以下数据时</w:t>
            </w:r>
            <w:r>
              <w:rPr>
                <w:sz w:val="21"/>
              </w:rPr>
              <w:t>，</w:t>
            </w:r>
            <w:r>
              <w:rPr>
                <w:sz w:val="21"/>
              </w:rPr>
              <w:t>应视情况采取标样核査、现场排査、留样复测</w:t>
            </w:r>
            <w:r>
              <w:rPr>
                <w:sz w:val="21"/>
              </w:rPr>
              <w:t>、</w:t>
            </w:r>
            <w:r>
              <w:rPr>
                <w:sz w:val="21"/>
              </w:rPr>
              <w:t>实际水样比对等措施</w:t>
            </w:r>
            <w:r>
              <w:rPr>
                <w:sz w:val="21"/>
              </w:rPr>
              <w:t>，</w:t>
            </w:r>
            <w:r>
              <w:rPr>
                <w:sz w:val="21"/>
              </w:rPr>
              <w:t>确认数据是否异常</w:t>
            </w:r>
            <w:r>
              <w:rPr>
                <w:sz w:val="21"/>
              </w:rPr>
              <w:t>：</w:t>
            </w:r>
          </w:p>
          <w:p>
            <w:pPr>
              <w:pStyle w:val="null3"/>
              <w:jc w:val="both"/>
            </w:pPr>
            <w:r>
              <w:rPr>
                <w:sz w:val="21"/>
              </w:rPr>
              <w:t>a</w:t>
            </w:r>
            <w:r>
              <w:rPr>
                <w:sz w:val="21"/>
              </w:rPr>
              <w:t>）</w:t>
            </w:r>
            <w:r>
              <w:rPr>
                <w:sz w:val="21"/>
              </w:rPr>
              <w:t>带有异常标识的监测数据</w:t>
            </w:r>
            <w:r>
              <w:rPr>
                <w:sz w:val="21"/>
              </w:rPr>
              <w:t>；</w:t>
            </w:r>
          </w:p>
          <w:p>
            <w:pPr>
              <w:pStyle w:val="null3"/>
              <w:jc w:val="both"/>
            </w:pPr>
            <w:r>
              <w:rPr>
                <w:sz w:val="21"/>
              </w:rPr>
              <w:t>b</w:t>
            </w:r>
            <w:r>
              <w:rPr>
                <w:sz w:val="21"/>
              </w:rPr>
              <w:t>）</w:t>
            </w:r>
            <w:r>
              <w:rPr>
                <w:sz w:val="21"/>
              </w:rPr>
              <w:t>自动监测仪器设备状态参数异常</w:t>
            </w:r>
            <w:r>
              <w:rPr>
                <w:sz w:val="21"/>
              </w:rPr>
              <w:t>、</w:t>
            </w:r>
            <w:r>
              <w:rPr>
                <w:sz w:val="21"/>
              </w:rPr>
              <w:t>运行日志异常或监测仪器设备故障的监测数据</w:t>
            </w:r>
            <w:r>
              <w:rPr>
                <w:sz w:val="21"/>
              </w:rPr>
              <w:t>；</w:t>
            </w:r>
          </w:p>
          <w:p>
            <w:pPr>
              <w:pStyle w:val="null3"/>
              <w:jc w:val="both"/>
            </w:pPr>
            <w:r>
              <w:rPr>
                <w:sz w:val="21"/>
              </w:rPr>
              <w:t>c</w:t>
            </w:r>
            <w:r>
              <w:rPr>
                <w:sz w:val="21"/>
              </w:rPr>
              <w:t>）</w:t>
            </w:r>
            <w:r>
              <w:rPr>
                <w:sz w:val="21"/>
              </w:rPr>
              <w:t>通过监测项目之间相关性分析气象条件、水站所在地历史数据分析认为不合常理的监测</w:t>
            </w:r>
            <w:r>
              <w:rPr>
                <w:sz w:val="21"/>
              </w:rPr>
              <w:t>；</w:t>
            </w:r>
          </w:p>
          <w:p>
            <w:pPr>
              <w:pStyle w:val="null3"/>
              <w:jc w:val="both"/>
            </w:pPr>
            <w:r>
              <w:rPr>
                <w:sz w:val="21"/>
              </w:rPr>
              <w:t xml:space="preserve">d) </w:t>
            </w:r>
            <w:r>
              <w:rPr>
                <w:sz w:val="21"/>
              </w:rPr>
              <w:t>其他情况导致的异常数据。</w:t>
            </w:r>
          </w:p>
          <w:p>
            <w:pPr>
              <w:pStyle w:val="null3"/>
              <w:jc w:val="both"/>
            </w:pPr>
            <w:r>
              <w:rPr>
                <w:sz w:val="21"/>
              </w:rPr>
              <w:t>2</w:t>
            </w:r>
            <w:r>
              <w:rPr>
                <w:sz w:val="21"/>
              </w:rPr>
              <w:t>）异常情况处置</w:t>
            </w:r>
          </w:p>
          <w:p>
            <w:pPr>
              <w:pStyle w:val="null3"/>
              <w:jc w:val="both"/>
            </w:pPr>
            <w:r>
              <w:rPr>
                <w:sz w:val="21"/>
              </w:rPr>
              <w:t>a</w:t>
            </w:r>
            <w:r>
              <w:rPr>
                <w:sz w:val="21"/>
              </w:rPr>
              <w:t>）</w:t>
            </w:r>
            <w:r>
              <w:rPr>
                <w:sz w:val="21"/>
              </w:rPr>
              <w:t>确认仪器通讯存在障碍或仪器状态异常、仪器故障时</w:t>
            </w:r>
            <w:r>
              <w:rPr>
                <w:sz w:val="21"/>
              </w:rPr>
              <w:t>，</w:t>
            </w:r>
            <w:r>
              <w:rPr>
                <w:sz w:val="21"/>
              </w:rPr>
              <w:t>应尽快前往现场査明原因</w:t>
            </w:r>
            <w:r>
              <w:rPr>
                <w:sz w:val="21"/>
              </w:rPr>
              <w:t>，</w:t>
            </w:r>
            <w:r>
              <w:rPr>
                <w:sz w:val="21"/>
              </w:rPr>
              <w:t>处理故障</w:t>
            </w:r>
            <w:r>
              <w:rPr>
                <w:sz w:val="21"/>
              </w:rPr>
              <w:t>。</w:t>
            </w:r>
          </w:p>
          <w:p>
            <w:pPr>
              <w:pStyle w:val="null3"/>
              <w:jc w:val="both"/>
            </w:pPr>
            <w:r>
              <w:rPr>
                <w:sz w:val="21"/>
              </w:rPr>
              <w:t>b</w:t>
            </w:r>
            <w:r>
              <w:rPr>
                <w:sz w:val="21"/>
              </w:rPr>
              <w:t>）</w:t>
            </w:r>
            <w:r>
              <w:rPr>
                <w:sz w:val="21"/>
              </w:rPr>
              <w:t>仪器或系统发生故障时</w:t>
            </w:r>
            <w:r>
              <w:rPr>
                <w:sz w:val="21"/>
              </w:rPr>
              <w:t>，</w:t>
            </w:r>
            <w:r>
              <w:rPr>
                <w:sz w:val="21"/>
              </w:rPr>
              <w:t>对于在现场能够诊断明确且可通过更换备件解决的问题</w:t>
            </w:r>
            <w:r>
              <w:rPr>
                <w:sz w:val="21"/>
              </w:rPr>
              <w:t>，</w:t>
            </w:r>
            <w:r>
              <w:rPr>
                <w:sz w:val="21"/>
              </w:rPr>
              <w:t>应在现场解决故障</w:t>
            </w:r>
            <w:r>
              <w:rPr>
                <w:sz w:val="21"/>
              </w:rPr>
              <w:t>；</w:t>
            </w:r>
            <w:r>
              <w:rPr>
                <w:sz w:val="21"/>
              </w:rPr>
              <w:t>对于其他不易诊断和检修的故障</w:t>
            </w:r>
            <w:r>
              <w:rPr>
                <w:sz w:val="21"/>
              </w:rPr>
              <w:t>，</w:t>
            </w:r>
            <w:r>
              <w:rPr>
                <w:sz w:val="21"/>
              </w:rPr>
              <w:t>或</w:t>
            </w:r>
            <w:r>
              <w:rPr>
                <w:sz w:val="21"/>
              </w:rPr>
              <w:t>48h</w:t>
            </w:r>
            <w:r>
              <w:rPr>
                <w:sz w:val="21"/>
              </w:rPr>
              <w:t>内无法排除的仪器故障</w:t>
            </w:r>
            <w:r>
              <w:rPr>
                <w:sz w:val="21"/>
              </w:rPr>
              <w:t>，</w:t>
            </w:r>
            <w:r>
              <w:rPr>
                <w:sz w:val="21"/>
              </w:rPr>
              <w:t>应采用备机替代发生故障的仪器</w:t>
            </w:r>
            <w:r>
              <w:rPr>
                <w:sz w:val="21"/>
              </w:rPr>
              <w:t>，</w:t>
            </w:r>
            <w:r>
              <w:rPr>
                <w:sz w:val="21"/>
              </w:rPr>
              <w:t>同时应对备机开展多点线性核査</w:t>
            </w:r>
            <w:r>
              <w:rPr>
                <w:sz w:val="21"/>
              </w:rPr>
              <w:t>，</w:t>
            </w:r>
            <w:r>
              <w:rPr>
                <w:sz w:val="21"/>
              </w:rPr>
              <w:t>并对监测数据进行分析</w:t>
            </w:r>
            <w:r>
              <w:rPr>
                <w:sz w:val="21"/>
              </w:rPr>
              <w:t>，</w:t>
            </w:r>
            <w:r>
              <w:rPr>
                <w:sz w:val="21"/>
              </w:rPr>
              <w:t>监测数据与更换备机前变化较大时</w:t>
            </w:r>
            <w:r>
              <w:rPr>
                <w:sz w:val="21"/>
              </w:rPr>
              <w:t>，</w:t>
            </w:r>
            <w:r>
              <w:rPr>
                <w:sz w:val="21"/>
              </w:rPr>
              <w:t>还应开展实际水样比对。</w:t>
            </w:r>
          </w:p>
          <w:p>
            <w:pPr>
              <w:pStyle w:val="null3"/>
              <w:jc w:val="both"/>
            </w:pPr>
            <w:r>
              <w:rPr>
                <w:sz w:val="21"/>
              </w:rPr>
              <w:t>c</w:t>
            </w:r>
            <w:r>
              <w:rPr>
                <w:sz w:val="21"/>
              </w:rPr>
              <w:t>）</w:t>
            </w:r>
            <w:r>
              <w:rPr>
                <w:sz w:val="21"/>
              </w:rPr>
              <w:t>经核实确为监测项目测定结果对应的水质类别发生变化时</w:t>
            </w:r>
            <w:r>
              <w:rPr>
                <w:sz w:val="21"/>
              </w:rPr>
              <w:t>，</w:t>
            </w:r>
            <w:r>
              <w:rPr>
                <w:sz w:val="21"/>
              </w:rPr>
              <w:t>及时报送</w:t>
            </w:r>
            <w:r>
              <w:rPr>
                <w:sz w:val="21"/>
              </w:rPr>
              <w:t>甲方</w:t>
            </w:r>
            <w:r>
              <w:rPr>
                <w:sz w:val="21"/>
              </w:rPr>
              <w:t>。</w:t>
            </w:r>
          </w:p>
          <w:p>
            <w:pPr>
              <w:pStyle w:val="null3"/>
              <w:jc w:val="both"/>
            </w:pPr>
            <w:r>
              <w:rPr>
                <w:sz w:val="21"/>
              </w:rPr>
              <w:t>3</w:t>
            </w:r>
            <w:r>
              <w:rPr>
                <w:sz w:val="21"/>
              </w:rPr>
              <w:t>）补充监测要求</w:t>
            </w:r>
          </w:p>
          <w:p>
            <w:pPr>
              <w:pStyle w:val="null3"/>
              <w:jc w:val="both"/>
            </w:pPr>
            <w:r>
              <w:rPr>
                <w:sz w:val="21"/>
              </w:rPr>
              <w:t>出现以下情况时，运维单位应按要求对所有监测项目开展人工补充监测工作：</w:t>
            </w:r>
          </w:p>
          <w:p>
            <w:pPr>
              <w:pStyle w:val="null3"/>
              <w:jc w:val="both"/>
            </w:pPr>
            <w:r>
              <w:rPr>
                <w:sz w:val="21"/>
              </w:rPr>
              <w:t>a</w:t>
            </w:r>
            <w:r>
              <w:rPr>
                <w:sz w:val="21"/>
              </w:rPr>
              <w:t>）因</w:t>
            </w:r>
            <w:r>
              <w:rPr>
                <w:sz w:val="21"/>
              </w:rPr>
              <w:t>给水故障、采水设施故障或采水点位无法正常采水导致水站停运，在保证自动监测仪器满足相关质控要求的前提下，中标人可采取人工采水自动监测仪器补测的方式，保障水站仪器每日上传</w:t>
            </w:r>
            <w:r>
              <w:rPr>
                <w:sz w:val="21"/>
              </w:rPr>
              <w:t>1-2</w:t>
            </w:r>
            <w:r>
              <w:rPr>
                <w:sz w:val="21"/>
              </w:rPr>
              <w:t>组有效数据；也可人工取样送具有</w:t>
            </w:r>
            <w:r>
              <w:rPr>
                <w:sz w:val="21"/>
              </w:rPr>
              <w:t>CMA</w:t>
            </w:r>
            <w:r>
              <w:rPr>
                <w:sz w:val="21"/>
              </w:rPr>
              <w:t>资质的实验室分析，停运超过</w:t>
            </w:r>
            <w:r>
              <w:rPr>
                <w:sz w:val="21"/>
              </w:rPr>
              <w:t>48</w:t>
            </w:r>
            <w:r>
              <w:rPr>
                <w:sz w:val="21"/>
              </w:rPr>
              <w:t>小时补测</w:t>
            </w:r>
            <w:r>
              <w:rPr>
                <w:sz w:val="21"/>
              </w:rPr>
              <w:t>1</w:t>
            </w:r>
            <w:r>
              <w:rPr>
                <w:sz w:val="21"/>
              </w:rPr>
              <w:t>组实验室分析数据，后续每周保证</w:t>
            </w:r>
            <w:r>
              <w:rPr>
                <w:sz w:val="21"/>
              </w:rPr>
              <w:t>2</w:t>
            </w:r>
            <w:r>
              <w:rPr>
                <w:sz w:val="21"/>
              </w:rPr>
              <w:t>组实验室分析数据直至水站恢复正常运行</w:t>
            </w:r>
            <w:r>
              <w:rPr>
                <w:sz w:val="21"/>
              </w:rPr>
              <w:t>；</w:t>
            </w:r>
          </w:p>
          <w:p>
            <w:pPr>
              <w:pStyle w:val="null3"/>
              <w:jc w:val="both"/>
            </w:pPr>
            <w:r>
              <w:rPr>
                <w:sz w:val="21"/>
              </w:rPr>
              <w:t>b</w:t>
            </w:r>
            <w:r>
              <w:rPr>
                <w:sz w:val="21"/>
              </w:rPr>
              <w:t>）因供电故障等基础保障原因，或因河道整治清淤、施工等因素导致水站停运，</w:t>
            </w:r>
            <w:r>
              <w:rPr>
                <w:sz w:val="21"/>
              </w:rPr>
              <w:t>超过</w:t>
            </w:r>
            <w:r>
              <w:rPr>
                <w:sz w:val="21"/>
              </w:rPr>
              <w:t>48</w:t>
            </w:r>
            <w:r>
              <w:rPr>
                <w:sz w:val="21"/>
              </w:rPr>
              <w:t>小时需补测</w:t>
            </w:r>
            <w:r>
              <w:rPr>
                <w:sz w:val="21"/>
              </w:rPr>
              <w:t>1</w:t>
            </w:r>
            <w:r>
              <w:rPr>
                <w:sz w:val="21"/>
              </w:rPr>
              <w:t>组实验室分析数据， 后续每周保证</w:t>
            </w:r>
            <w:r>
              <w:rPr>
                <w:sz w:val="21"/>
              </w:rPr>
              <w:t>2</w:t>
            </w:r>
            <w:r>
              <w:rPr>
                <w:sz w:val="21"/>
              </w:rPr>
              <w:t>组实验室分析数据直至水站恢复正常运行（两次补测间隔不得小于</w:t>
            </w:r>
            <w:r>
              <w:rPr>
                <w:sz w:val="21"/>
              </w:rPr>
              <w:t>2</w:t>
            </w:r>
            <w:r>
              <w:rPr>
                <w:sz w:val="21"/>
              </w:rPr>
              <w:t>天）</w:t>
            </w:r>
            <w:r>
              <w:rPr>
                <w:sz w:val="21"/>
              </w:rPr>
              <w:t>；</w:t>
            </w:r>
          </w:p>
          <w:p>
            <w:pPr>
              <w:pStyle w:val="null3"/>
              <w:jc w:val="both"/>
            </w:pPr>
            <w:r>
              <w:rPr>
                <w:sz w:val="21"/>
              </w:rPr>
              <w:t>c</w:t>
            </w:r>
            <w:r>
              <w:rPr>
                <w:sz w:val="21"/>
              </w:rPr>
              <w:t>）监测水体受高泥沙、高浊度、高盐度、藻类聚集等复杂情况影响，导致自动监测数据准确度达不到要求；</w:t>
            </w:r>
          </w:p>
          <w:p>
            <w:pPr>
              <w:pStyle w:val="null3"/>
              <w:jc w:val="both"/>
            </w:pPr>
            <w:r>
              <w:rPr>
                <w:sz w:val="21"/>
              </w:rPr>
              <w:t>d</w:t>
            </w:r>
            <w:r>
              <w:rPr>
                <w:sz w:val="21"/>
              </w:rPr>
              <w:t>）其他因水站升级改造等因素导致无法正常运行的情况。</w:t>
            </w:r>
          </w:p>
          <w:p>
            <w:pPr>
              <w:pStyle w:val="null3"/>
              <w:jc w:val="both"/>
            </w:pPr>
            <w:r>
              <w:rPr>
                <w:sz w:val="21"/>
              </w:rPr>
              <w:t>e</w:t>
            </w:r>
            <w:r>
              <w:rPr>
                <w:sz w:val="21"/>
              </w:rPr>
              <w:t>）台风、风雪、地震、洪水、泥石流、塌方、断流、结</w:t>
            </w:r>
            <w:r>
              <w:rPr>
                <w:sz w:val="21"/>
              </w:rPr>
              <w:t>/</w:t>
            </w:r>
            <w:r>
              <w:rPr>
                <w:sz w:val="21"/>
              </w:rPr>
              <w:t>化冰期等不可抗力因素导致无法人工采样时</w:t>
            </w:r>
            <w:r>
              <w:rPr>
                <w:sz w:val="21"/>
              </w:rPr>
              <w:t>,</w:t>
            </w:r>
            <w:r>
              <w:rPr>
                <w:sz w:val="21"/>
              </w:rPr>
              <w:t>可不开展人工补充监测工作。</w:t>
            </w:r>
          </w:p>
          <w:p>
            <w:pPr>
              <w:pStyle w:val="null3"/>
              <w:jc w:val="both"/>
            </w:pPr>
            <w:r>
              <w:rPr>
                <w:sz w:val="21"/>
              </w:rPr>
              <w:t>（</w:t>
            </w:r>
            <w:r>
              <w:rPr>
                <w:sz w:val="21"/>
              </w:rPr>
              <w:t>9</w:t>
            </w:r>
            <w:r>
              <w:rPr>
                <w:sz w:val="21"/>
              </w:rPr>
              <w:t>）</w:t>
            </w:r>
            <w:r>
              <w:rPr>
                <w:sz w:val="21"/>
              </w:rPr>
              <w:t>运维档案与记录</w:t>
            </w:r>
          </w:p>
          <w:p>
            <w:pPr>
              <w:pStyle w:val="null3"/>
              <w:jc w:val="both"/>
            </w:pPr>
            <w:r>
              <w:rPr>
                <w:sz w:val="21"/>
              </w:rPr>
              <w:t>1</w:t>
            </w:r>
            <w:r>
              <w:rPr>
                <w:sz w:val="21"/>
              </w:rPr>
              <w:t>）</w:t>
            </w:r>
            <w:r>
              <w:rPr>
                <w:sz w:val="21"/>
              </w:rPr>
              <w:t>技术档案和运维记录的基本要求</w:t>
            </w:r>
          </w:p>
          <w:p>
            <w:pPr>
              <w:pStyle w:val="null3"/>
              <w:jc w:val="both"/>
            </w:pPr>
            <w:r>
              <w:rPr>
                <w:sz w:val="21"/>
              </w:rPr>
              <w:t>①　水站运行技术档案包括仪器的说明书、系统安装调试记录、试运行记录、验收监测记录、质控报告、仪器的适用性检测报告以及各类运行记录；</w:t>
            </w:r>
          </w:p>
          <w:p>
            <w:pPr>
              <w:pStyle w:val="null3"/>
              <w:jc w:val="both"/>
            </w:pPr>
            <w:r>
              <w:rPr>
                <w:sz w:val="21"/>
              </w:rPr>
              <w:t>②　运行记录应清晰、完整、填报及时。</w:t>
            </w:r>
          </w:p>
          <w:p>
            <w:pPr>
              <w:pStyle w:val="null3"/>
              <w:jc w:val="both"/>
            </w:pPr>
            <w:r>
              <w:rPr>
                <w:sz w:val="21"/>
              </w:rPr>
              <w:t>2</w:t>
            </w:r>
            <w:r>
              <w:rPr>
                <w:sz w:val="21"/>
              </w:rPr>
              <w:t>）</w:t>
            </w:r>
            <w:r>
              <w:rPr>
                <w:sz w:val="21"/>
              </w:rPr>
              <w:t>运维记录</w:t>
            </w:r>
            <w:r>
              <w:rPr>
                <w:sz w:val="21"/>
              </w:rPr>
              <w:t>基本</w:t>
            </w:r>
            <w:r>
              <w:rPr>
                <w:sz w:val="21"/>
              </w:rPr>
              <w:t>要求</w:t>
            </w:r>
          </w:p>
          <w:p>
            <w:pPr>
              <w:pStyle w:val="null3"/>
              <w:jc w:val="both"/>
            </w:pPr>
            <w:r>
              <w:rPr>
                <w:sz w:val="21"/>
              </w:rPr>
              <w:t>中标人</w:t>
            </w:r>
            <w:r>
              <w:rPr>
                <w:sz w:val="21"/>
              </w:rPr>
              <w:t>应按照管理需求记录水站运行情况和维护情况</w:t>
            </w:r>
            <w:r>
              <w:rPr>
                <w:sz w:val="21"/>
              </w:rPr>
              <w:t>,</w:t>
            </w:r>
            <w:r>
              <w:rPr>
                <w:sz w:val="21"/>
              </w:rPr>
              <w:t>记录形式不限</w:t>
            </w:r>
            <w:r>
              <w:rPr>
                <w:sz w:val="21"/>
              </w:rPr>
              <w:t>,</w:t>
            </w:r>
            <w:r>
              <w:rPr>
                <w:sz w:val="21"/>
              </w:rPr>
              <w:t>应至少包括以下基本内容</w:t>
            </w:r>
            <w:r>
              <w:rPr>
                <w:sz w:val="21"/>
              </w:rPr>
              <w:t>。</w:t>
            </w:r>
          </w:p>
          <w:p>
            <w:pPr>
              <w:pStyle w:val="null3"/>
              <w:jc w:val="both"/>
            </w:pPr>
            <w:r>
              <w:rPr>
                <w:sz w:val="21"/>
              </w:rPr>
              <w:t>①　</w:t>
            </w:r>
            <w:r>
              <w:rPr>
                <w:sz w:val="21"/>
              </w:rPr>
              <w:t>水站检查维护记录</w:t>
            </w:r>
            <w:r>
              <w:rPr>
                <w:sz w:val="21"/>
              </w:rPr>
              <w:t>，</w:t>
            </w:r>
            <w:r>
              <w:rPr>
                <w:sz w:val="21"/>
              </w:rPr>
              <w:t>应包含水站名称、维护日期、运维单位</w:t>
            </w:r>
            <w:r>
              <w:rPr>
                <w:sz w:val="21"/>
              </w:rPr>
              <w:t>、</w:t>
            </w:r>
            <w:r>
              <w:rPr>
                <w:sz w:val="21"/>
              </w:rPr>
              <w:t>维护人员</w:t>
            </w:r>
            <w:r>
              <w:rPr>
                <w:sz w:val="21"/>
              </w:rPr>
              <w:t>、</w:t>
            </w:r>
            <w:r>
              <w:rPr>
                <w:sz w:val="21"/>
              </w:rPr>
              <w:t>检查维护内容及处理说明等</w:t>
            </w:r>
            <w:r>
              <w:rPr>
                <w:sz w:val="21"/>
              </w:rPr>
              <w:t>；</w:t>
            </w:r>
          </w:p>
          <w:p>
            <w:pPr>
              <w:pStyle w:val="null3"/>
              <w:jc w:val="both"/>
            </w:pPr>
            <w:r>
              <w:rPr>
                <w:sz w:val="21"/>
              </w:rPr>
              <w:t>② 仪器设备检修记录，应包含水站名称、维护日期、运维单位、维护人员、故障仪器设备型号及编号、故障情况及发生时间、检修情况说明、部件更换说明、修复后质控测试情况说明、正常投入使用时间等信息；</w:t>
            </w:r>
          </w:p>
          <w:p>
            <w:pPr>
              <w:pStyle w:val="null3"/>
              <w:jc w:val="both"/>
            </w:pPr>
            <w:r>
              <w:rPr>
                <w:sz w:val="21"/>
              </w:rPr>
              <w:t xml:space="preserve">③ </w:t>
            </w:r>
            <w:r>
              <w:rPr>
                <w:sz w:val="21"/>
              </w:rPr>
              <w:t>水站仪器关键参数设置及变更记录</w:t>
            </w:r>
            <w:r>
              <w:rPr>
                <w:sz w:val="21"/>
              </w:rPr>
              <w:t>,</w:t>
            </w:r>
            <w:r>
              <w:rPr>
                <w:sz w:val="21"/>
              </w:rPr>
              <w:t>应包含水站名称、设置时间或变更时间、仪器名称及型号、测量原理及分析方法、关键参数变更后情况及变更原因说明</w:t>
            </w:r>
            <w:r>
              <w:rPr>
                <w:sz w:val="21"/>
              </w:rPr>
              <w:t>；</w:t>
            </w:r>
          </w:p>
          <w:p>
            <w:pPr>
              <w:pStyle w:val="null3"/>
              <w:jc w:val="both"/>
            </w:pPr>
            <w:r>
              <w:rPr>
                <w:sz w:val="21"/>
              </w:rPr>
              <w:t xml:space="preserve">④ </w:t>
            </w:r>
            <w:r>
              <w:rPr>
                <w:sz w:val="21"/>
              </w:rPr>
              <w:t>水站试剂及标准样品更换记录</w:t>
            </w:r>
            <w:r>
              <w:rPr>
                <w:sz w:val="21"/>
              </w:rPr>
              <w:t>，</w:t>
            </w:r>
            <w:r>
              <w:rPr>
                <w:sz w:val="21"/>
              </w:rPr>
              <w:t>应包含水站名称、维护日期、运维单位、维护人员、仪器名称试剂名称、标准样品浓度、试剂体积、试剂配置时间、试剂有效期、试剂更换时间等信息</w:t>
            </w:r>
            <w:r>
              <w:rPr>
                <w:sz w:val="21"/>
              </w:rPr>
              <w:t>；</w:t>
            </w:r>
          </w:p>
          <w:p>
            <w:pPr>
              <w:pStyle w:val="null3"/>
              <w:jc w:val="both"/>
            </w:pPr>
            <w:r>
              <w:rPr>
                <w:sz w:val="21"/>
              </w:rPr>
              <w:t xml:space="preserve">⑤ </w:t>
            </w:r>
            <w:r>
              <w:rPr>
                <w:sz w:val="21"/>
              </w:rPr>
              <w:t>易耗品和备品备件更换记录</w:t>
            </w:r>
            <w:r>
              <w:rPr>
                <w:sz w:val="21"/>
              </w:rPr>
              <w:t>，</w:t>
            </w:r>
            <w:r>
              <w:rPr>
                <w:sz w:val="21"/>
              </w:rPr>
              <w:t>应包含水站名称、维护日期、运维单位、维护人员、易耗品</w:t>
            </w:r>
            <w:r>
              <w:rPr>
                <w:sz w:val="21"/>
              </w:rPr>
              <w:t>/</w:t>
            </w:r>
            <w:r>
              <w:rPr>
                <w:sz w:val="21"/>
              </w:rPr>
              <w:t>备品备件名称、规格型号、更换日期、更换原因说明等信息</w:t>
            </w:r>
            <w:r>
              <w:rPr>
                <w:sz w:val="21"/>
              </w:rPr>
              <w:t>；</w:t>
            </w:r>
          </w:p>
          <w:p>
            <w:pPr>
              <w:pStyle w:val="null3"/>
              <w:jc w:val="both"/>
            </w:pPr>
            <w:r>
              <w:rPr>
                <w:sz w:val="21"/>
              </w:rPr>
              <w:t xml:space="preserve">⑥ </w:t>
            </w:r>
            <w:r>
              <w:rPr>
                <w:sz w:val="21"/>
              </w:rPr>
              <w:t>应记录废液收集量、收集时间、转运记录等信息</w:t>
            </w:r>
            <w:r>
              <w:rPr>
                <w:sz w:val="21"/>
              </w:rPr>
              <w:t>；</w:t>
            </w:r>
          </w:p>
          <w:p>
            <w:pPr>
              <w:pStyle w:val="null3"/>
              <w:jc w:val="both"/>
            </w:pPr>
            <w:r>
              <w:rPr>
                <w:sz w:val="21"/>
              </w:rPr>
              <w:t xml:space="preserve">⑦ </w:t>
            </w:r>
            <w:r>
              <w:rPr>
                <w:sz w:val="21"/>
              </w:rPr>
              <w:t>运维记录应清晰、完整</w:t>
            </w:r>
            <w:r>
              <w:rPr>
                <w:sz w:val="21"/>
              </w:rPr>
              <w:t>，</w:t>
            </w:r>
            <w:r>
              <w:rPr>
                <w:sz w:val="21"/>
              </w:rPr>
              <w:t>平台具备填报功能的可通过平台填报</w:t>
            </w:r>
            <w:r>
              <w:rPr>
                <w:sz w:val="21"/>
              </w:rPr>
              <w:t>，</w:t>
            </w:r>
            <w:r>
              <w:rPr>
                <w:sz w:val="21"/>
              </w:rPr>
              <w:t>平台不具备的应在现场及时填写</w:t>
            </w:r>
            <w:r>
              <w:rPr>
                <w:sz w:val="21"/>
              </w:rPr>
              <w:t>，</w:t>
            </w:r>
            <w:r>
              <w:rPr>
                <w:sz w:val="21"/>
              </w:rPr>
              <w:t>与仅器相关的记录可放置在现场并妥善保存</w:t>
            </w:r>
            <w:r>
              <w:rPr>
                <w:sz w:val="21"/>
              </w:rPr>
              <w:t>；</w:t>
            </w:r>
          </w:p>
          <w:p>
            <w:pPr>
              <w:pStyle w:val="null3"/>
              <w:jc w:val="both"/>
            </w:pPr>
            <w:r>
              <w:rPr>
                <w:sz w:val="21"/>
              </w:rPr>
              <w:t>3</w:t>
            </w:r>
            <w:r>
              <w:rPr>
                <w:sz w:val="21"/>
              </w:rPr>
              <w:t>）运维记录表格</w:t>
            </w:r>
          </w:p>
          <w:p>
            <w:pPr>
              <w:pStyle w:val="null3"/>
              <w:jc w:val="both"/>
            </w:pPr>
            <w:r>
              <w:rPr>
                <w:sz w:val="21"/>
              </w:rPr>
              <w:t>运行记录表格参见</w:t>
            </w: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w:t>
            </w:r>
            <w:r>
              <w:rPr>
                <w:sz w:val="21"/>
              </w:rPr>
              <w:t>附录</w:t>
            </w:r>
            <w:r>
              <w:rPr>
                <w:sz w:val="21"/>
              </w:rPr>
              <w:t>B</w:t>
            </w:r>
            <w:r>
              <w:rPr>
                <w:sz w:val="21"/>
              </w:rPr>
              <w:t>—</w:t>
            </w:r>
            <w:r>
              <w:rPr>
                <w:sz w:val="21"/>
              </w:rPr>
              <w:t>附录</w:t>
            </w:r>
            <w:r>
              <w:rPr>
                <w:sz w:val="21"/>
              </w:rPr>
              <w:t>D</w:t>
            </w:r>
            <w:r>
              <w:rPr>
                <w:sz w:val="21"/>
              </w:rPr>
              <w:t>，</w:t>
            </w:r>
            <w:r>
              <w:rPr>
                <w:sz w:val="21"/>
              </w:rPr>
              <w:t>其中巡检维护记录表参见附</w:t>
            </w:r>
            <w:r>
              <w:rPr>
                <w:sz w:val="21"/>
              </w:rPr>
              <w:t>录</w:t>
            </w:r>
            <w:r>
              <w:rPr>
                <w:sz w:val="21"/>
              </w:rPr>
              <w:t>B</w:t>
            </w:r>
            <w:r>
              <w:rPr>
                <w:sz w:val="21"/>
              </w:rPr>
              <w:t>、</w:t>
            </w:r>
            <w:r>
              <w:rPr>
                <w:sz w:val="21"/>
              </w:rPr>
              <w:t>检修记录表参见附录</w:t>
            </w:r>
            <w:r>
              <w:rPr>
                <w:sz w:val="21"/>
              </w:rPr>
              <w:t>C</w:t>
            </w:r>
            <w:r>
              <w:rPr>
                <w:sz w:val="21"/>
              </w:rPr>
              <w:t>、易耗品更换记录表参见附录</w:t>
            </w:r>
            <w:r>
              <w:rPr>
                <w:sz w:val="21"/>
              </w:rPr>
              <w:t>D</w:t>
            </w:r>
            <w:r>
              <w:rPr>
                <w:sz w:val="21"/>
              </w:rPr>
              <w:t>。</w:t>
            </w:r>
            <w:r>
              <w:rPr>
                <w:sz w:val="21"/>
              </w:rPr>
              <w:t>中标人</w:t>
            </w:r>
            <w:r>
              <w:rPr>
                <w:sz w:val="21"/>
              </w:rPr>
              <w:t>可根据实际需求及管理需求调整或增加不同的表格。</w:t>
            </w:r>
          </w:p>
          <w:p>
            <w:pPr>
              <w:pStyle w:val="null3"/>
              <w:jc w:val="both"/>
            </w:pPr>
            <w:r>
              <w:rPr>
                <w:sz w:val="21"/>
              </w:rPr>
              <w:t>（</w:t>
            </w:r>
            <w:r>
              <w:rPr>
                <w:sz w:val="21"/>
              </w:rPr>
              <w:t>2</w:t>
            </w:r>
            <w:r>
              <w:rPr>
                <w:sz w:val="21"/>
              </w:rPr>
              <w:t>）</w:t>
            </w:r>
            <w:r>
              <w:rPr>
                <w:sz w:val="21"/>
              </w:rPr>
              <w:t>运行考核</w:t>
            </w:r>
          </w:p>
          <w:p>
            <w:pPr>
              <w:pStyle w:val="null3"/>
              <w:jc w:val="both"/>
            </w:pPr>
            <w:r>
              <w:rPr>
                <w:sz w:val="21"/>
              </w:rPr>
              <w:t>采购人组织开展运维管理和质控考核，中标人达不到要求的，采购人有权扣减相应的数据服务费或终止服务合同。</w:t>
            </w:r>
          </w:p>
          <w:p>
            <w:pPr>
              <w:pStyle w:val="null3"/>
              <w:jc w:val="both"/>
            </w:pPr>
            <w:r>
              <w:rPr>
                <w:sz w:val="21"/>
              </w:rPr>
              <w:t>当出现《环境监测数据弄虚作假行为判定及处理办法》中规定的篡改、伪造或者指使篡改、伪造监测数据等行为时，采购人将有权单方面终止服务合同，依照国家法律法规和有关规定予以处理</w:t>
            </w:r>
            <w:r>
              <w:rPr>
                <w:sz w:val="21"/>
              </w:rPr>
              <w:t>。</w:t>
            </w:r>
          </w:p>
        </w:tc>
      </w:tr>
      <w:tr>
        <w:tc>
          <w:tcPr>
            <w:tcW w:type="dxa" w:w="2076"/>
          </w:tcPr>
          <w:p/>
        </w:tc>
        <w:tc>
          <w:tcPr>
            <w:tcW w:type="dxa" w:w="415"/>
          </w:tcPr>
          <w:p>
            <w:pPr>
              <w:pStyle w:val="null3"/>
            </w:pPr>
            <w:r>
              <w:rPr/>
              <w:t>5</w:t>
            </w:r>
          </w:p>
        </w:tc>
        <w:tc>
          <w:tcPr>
            <w:tcW w:type="dxa" w:w="5814"/>
          </w:tcPr>
          <w:p>
            <w:pPr>
              <w:pStyle w:val="null3"/>
              <w:jc w:val="both"/>
            </w:pPr>
            <w:r>
              <w:rPr>
                <w:sz w:val="21"/>
                <w:b/>
              </w:rPr>
              <w:t>监测数据分析服务要求</w:t>
            </w:r>
          </w:p>
          <w:p>
            <w:pPr>
              <w:pStyle w:val="null3"/>
              <w:jc w:val="both"/>
            </w:pPr>
            <w:r>
              <w:rPr>
                <w:sz w:val="21"/>
              </w:rPr>
              <w:t>本项目监测数据需接入顺德区生态环境综合管理平台，同时提供监测数据分析平台。具体要求如下：</w:t>
            </w:r>
          </w:p>
          <w:p>
            <w:pPr>
              <w:pStyle w:val="null3"/>
              <w:jc w:val="both"/>
            </w:pPr>
            <w:r>
              <w:rPr>
                <w:sz w:val="21"/>
              </w:rPr>
              <w:t>1.监测数据分析平台要求</w:t>
            </w:r>
          </w:p>
          <w:p>
            <w:pPr>
              <w:pStyle w:val="null3"/>
              <w:jc w:val="both"/>
            </w:pPr>
            <w:r>
              <w:rPr>
                <w:sz w:val="21"/>
              </w:rPr>
              <w:t>（</w:t>
            </w:r>
            <w:r>
              <w:rPr>
                <w:sz w:val="21"/>
              </w:rPr>
              <w:t>1</w:t>
            </w:r>
            <w:r>
              <w:rPr>
                <w:sz w:val="21"/>
              </w:rPr>
              <w:t>）</w:t>
            </w:r>
            <w:r>
              <w:rPr>
                <w:sz w:val="21"/>
              </w:rPr>
              <w:t>监测数据分析平台总体要求</w:t>
            </w:r>
          </w:p>
          <w:p>
            <w:pPr>
              <w:pStyle w:val="null3"/>
              <w:jc w:val="both"/>
            </w:pPr>
            <w:r>
              <w:rPr>
                <w:sz w:val="21"/>
              </w:rPr>
              <w:t>监测数据分析平台以地图方式形象立体展现所有监测断面，展示内容含站点位置、水质状况、站点基本信息等；基于各流域内的监测断面的某项监测数据，利用插值分析方法，以渲染图的形式直观显示整个流域的水质状况；以看板形式综合显示区域水环境的概况，包括站点联网情况、超标情况、实时水质排名等；采用不同颜色标识不同状态（例如离线、故障、超标等），以卡片方式实时显示各监测断面的实时数据及水质评价结果，一目了然。</w:t>
            </w:r>
          </w:p>
          <w:p>
            <w:pPr>
              <w:pStyle w:val="null3"/>
              <w:jc w:val="both"/>
            </w:pPr>
            <w:r>
              <w:rPr>
                <w:sz w:val="21"/>
              </w:rPr>
              <w:t>（</w:t>
            </w:r>
            <w:r>
              <w:rPr>
                <w:sz w:val="21"/>
              </w:rPr>
              <w:t>2</w:t>
            </w:r>
            <w:r>
              <w:rPr>
                <w:sz w:val="21"/>
              </w:rPr>
              <w:t>）</w:t>
            </w:r>
            <w:r>
              <w:rPr>
                <w:sz w:val="21"/>
              </w:rPr>
              <w:t>监测数据分析平台数据要求</w:t>
            </w:r>
          </w:p>
          <w:p>
            <w:pPr>
              <w:pStyle w:val="null3"/>
              <w:jc w:val="both"/>
            </w:pPr>
            <w:r>
              <w:rPr>
                <w:sz w:val="21"/>
              </w:rPr>
              <w:t>监测数据分析平台以表格形式跟踪记录过去时段的监测数据，并采用不同颜色以标识不同状态（例如超测上限、维护、设备故障等）；可对异常数据进行过滤筛选查询；可导出到</w:t>
            </w:r>
            <w:r>
              <w:rPr>
                <w:sz w:val="21"/>
              </w:rPr>
              <w:t>excel方便查看。对质控数据具备查看及分析功能，能够对零点核查、跨度核查数据进行记录并分析24h漂移量，能够对加标回收、标液核查、多点线性核查、集成干预检查、实际水样比对数据进行记录并分析合格性。以表格方式呈现天、周、月、年报表，并可导出成excel、pdf；以图形、曲线方式多元立体化展现统计数据。提供给管理人员每次进行了手工取水实验室分析后，将手工监测数据录入到系统中，起到数据保存的同时可用作对比在线分析仪器的日常分析的数据是否合理，评估分析仪器的工作情况。各站点上传的数据需经中标人审核，将无效或异常数据打上标识，并可查看审核记录。</w:t>
            </w:r>
          </w:p>
          <w:p>
            <w:pPr>
              <w:pStyle w:val="null3"/>
              <w:jc w:val="both"/>
            </w:pPr>
            <w:r>
              <w:rPr>
                <w:sz w:val="21"/>
              </w:rPr>
              <w:t>（</w:t>
            </w:r>
            <w:r>
              <w:rPr>
                <w:sz w:val="21"/>
              </w:rPr>
              <w:t>3</w:t>
            </w:r>
            <w:r>
              <w:rPr>
                <w:sz w:val="21"/>
              </w:rPr>
              <w:t>）</w:t>
            </w:r>
            <w:r>
              <w:rPr>
                <w:sz w:val="21"/>
              </w:rPr>
              <w:t>监测数据分析平台其他要求</w:t>
            </w:r>
          </w:p>
          <w:p>
            <w:pPr>
              <w:pStyle w:val="null3"/>
              <w:jc w:val="both"/>
            </w:pPr>
            <w:r>
              <w:rPr>
                <w:sz w:val="21"/>
              </w:rPr>
              <w:t>监测数据分析平台可以实时读取当前监测系统的状态，并实现系统反控，通过可视化的直观界面下发反控命令后应实时更新系统状态，通过反馈的信息，以确认是否执行成功；可以对监控站、监测点、设备根据实际需求进行设置；可以对异常数据进行短信报警或</w:t>
            </w:r>
            <w:r>
              <w:rPr>
                <w:sz w:val="21"/>
              </w:rPr>
              <w:t>APP报警信息推送。本项目需配套微信小程序，可以实时查看监测数据、报警信息、数据综合分析、远程质控、仪器参数配置、仪器日志查询等。</w:t>
            </w:r>
          </w:p>
        </w:tc>
      </w:tr>
      <w:tr>
        <w:tc>
          <w:tcPr>
            <w:tcW w:type="dxa" w:w="2076"/>
          </w:tcPr>
          <w:p/>
        </w:tc>
        <w:tc>
          <w:tcPr>
            <w:tcW w:type="dxa" w:w="415"/>
          </w:tcPr>
          <w:p>
            <w:pPr>
              <w:pStyle w:val="null3"/>
            </w:pPr>
            <w:r>
              <w:rPr/>
              <w:t>6</w:t>
            </w:r>
          </w:p>
        </w:tc>
        <w:tc>
          <w:tcPr>
            <w:tcW w:type="dxa" w:w="5814"/>
          </w:tcPr>
          <w:p>
            <w:pPr>
              <w:pStyle w:val="null3"/>
              <w:jc w:val="both"/>
            </w:pPr>
            <w:r>
              <w:rPr>
                <w:sz w:val="21"/>
                <w:b/>
              </w:rPr>
              <w:t>考核要求：</w:t>
            </w:r>
          </w:p>
          <w:p>
            <w:pPr>
              <w:pStyle w:val="null3"/>
              <w:jc w:val="both"/>
            </w:pPr>
            <w:r>
              <w:rPr>
                <w:sz w:val="21"/>
              </w:rPr>
              <w:t>自正式提供数据服务起</w:t>
            </w:r>
            <w:r>
              <w:rPr>
                <w:sz w:val="21"/>
              </w:rPr>
              <w:t>，</w:t>
            </w:r>
            <w:r>
              <w:rPr>
                <w:sz w:val="21"/>
              </w:rPr>
              <w:t>分</w:t>
            </w:r>
            <w:r>
              <w:rPr>
                <w:sz w:val="21"/>
              </w:rPr>
              <w:t>三</w:t>
            </w:r>
            <w:r>
              <w:rPr>
                <w:sz w:val="21"/>
              </w:rPr>
              <w:t>个服务周期，前</w:t>
            </w:r>
            <w:r>
              <w:rPr>
                <w:sz w:val="21"/>
              </w:rPr>
              <w:t>两</w:t>
            </w:r>
            <w:r>
              <w:rPr>
                <w:sz w:val="21"/>
              </w:rPr>
              <w:t>个服务周期以三个月为一个周期，第</w:t>
            </w:r>
            <w:r>
              <w:rPr>
                <w:sz w:val="21"/>
              </w:rPr>
              <w:t>三</w:t>
            </w:r>
            <w:r>
              <w:rPr>
                <w:sz w:val="21"/>
              </w:rPr>
              <w:t>个服务周期以四个月为一个周期，每服务周期对中标人开展一次工作考核，满分为</w:t>
            </w:r>
            <w:r>
              <w:rPr>
                <w:sz w:val="21"/>
              </w:rPr>
              <w:t>100分。</w:t>
            </w:r>
          </w:p>
          <w:p>
            <w:pPr>
              <w:pStyle w:val="null3"/>
              <w:jc w:val="both"/>
            </w:pPr>
            <w:r>
              <w:rPr>
                <w:sz w:val="21"/>
              </w:rPr>
              <w:t>1.按服务周期对每个站点单独考核，其中单次考核结果≥80分为合格，考核合格后按照合同要求支付该周期的服务费。</w:t>
            </w:r>
          </w:p>
          <w:p>
            <w:pPr>
              <w:pStyle w:val="null3"/>
              <w:jc w:val="both"/>
            </w:pPr>
            <w:r>
              <w:rPr>
                <w:sz w:val="21"/>
              </w:rPr>
              <w:t>2.70分≤单次考核结果＜80分的，按比例扣除该站点周期服务费的10%，并责令整改。</w:t>
            </w:r>
          </w:p>
          <w:p>
            <w:pPr>
              <w:pStyle w:val="null3"/>
              <w:jc w:val="both"/>
            </w:pPr>
            <w:r>
              <w:rPr>
                <w:sz w:val="21"/>
              </w:rPr>
              <w:t>3.60≤单次考核结果＜70分的，按比例扣除该站点周期服务费的40%，并责令整改。</w:t>
            </w:r>
          </w:p>
          <w:p>
            <w:pPr>
              <w:pStyle w:val="null3"/>
              <w:jc w:val="both"/>
            </w:pPr>
            <w:r>
              <w:rPr>
                <w:sz w:val="21"/>
              </w:rPr>
              <w:t>4.单次考核结果＜60分的，警告并扣除该站点周期服务费。</w:t>
            </w:r>
          </w:p>
          <w:p>
            <w:pPr>
              <w:pStyle w:val="null3"/>
              <w:jc w:val="both"/>
            </w:pPr>
            <w:r>
              <w:rPr>
                <w:sz w:val="21"/>
              </w:rPr>
              <w:t>5.一服务周期内各站点累计出现三次以上（含三次）警告情况，扣除当周期全部站点服务费用。一服务周期内各站点累计出现五次以上（含五次）警告情况，扣除当周期全部站点服务费用并解除服务合同（解除合同时</w:t>
            </w:r>
            <w:r>
              <w:rPr>
                <w:sz w:val="21"/>
              </w:rPr>
              <w:t>，</w:t>
            </w:r>
            <w:r>
              <w:rPr>
                <w:sz w:val="21"/>
              </w:rPr>
              <w:t>累计应支付的服务费少于已支付的服务费时，中标人应退回差额部分</w:t>
            </w:r>
            <w:r>
              <w:rPr>
                <w:sz w:val="21"/>
              </w:rPr>
              <w:t>），报政府采购监督管理部门备案。</w:t>
            </w:r>
          </w:p>
          <w:p>
            <w:pPr>
              <w:pStyle w:val="null3"/>
              <w:jc w:val="both"/>
            </w:pPr>
            <w:r>
              <w:rPr>
                <w:sz w:val="21"/>
              </w:rPr>
              <w:t>6.一旦发现弄虚作假、虚假数据，采购人有权单方面终止合同，报政府采购监督管理部门备案，并按周期服务费的双倍进行经济处罚。</w:t>
            </w:r>
          </w:p>
          <w:p>
            <w:pPr>
              <w:pStyle w:val="null3"/>
              <w:jc w:val="both"/>
            </w:pPr>
            <w:r>
              <w:rPr>
                <w:sz w:val="21"/>
              </w:rPr>
              <w:t>7.周期服务费=合同金额</w:t>
            </w:r>
            <w:r>
              <w:rPr>
                <w:sz w:val="21"/>
              </w:rPr>
              <w:t>×</w:t>
            </w:r>
            <w:r>
              <w:rPr>
                <w:sz w:val="21"/>
              </w:rPr>
              <w:t>该周期月数</w:t>
            </w:r>
            <w:r>
              <w:rPr>
                <w:sz w:val="21"/>
              </w:rPr>
              <w:t>/</w:t>
            </w:r>
            <w:r>
              <w:rPr>
                <w:sz w:val="21"/>
              </w:rPr>
              <w:t>10</w:t>
            </w:r>
            <w:r>
              <w:rPr/>
              <w:t>，</w:t>
            </w:r>
            <w:r>
              <w:rPr/>
              <w:t>单个站点每周期服务费</w:t>
            </w:r>
            <w:r>
              <w:rPr/>
              <w:t>=</w:t>
            </w:r>
            <w:r>
              <w:rPr/>
              <w:t>每周期服务费</w:t>
            </w:r>
            <w:r>
              <w:rPr/>
              <w:t>/15</w:t>
            </w:r>
            <w:r>
              <w:rPr/>
              <w:t>。</w:t>
            </w:r>
          </w:p>
          <w:p>
            <w:pPr>
              <w:pStyle w:val="null3"/>
              <w:jc w:val="both"/>
            </w:pPr>
            <w:r>
              <w:rPr>
                <w:sz w:val="21"/>
              </w:rPr>
              <w:t>附表：</w:t>
            </w:r>
          </w:p>
          <w:tbl>
            <w:tblPr>
              <w:tblInd w:type="dxa" w:w="120"/>
              <w:tblBorders>
                <w:top w:val="none" w:color="000000" w:sz="4"/>
                <w:left w:val="none" w:color="000000" w:sz="4"/>
                <w:bottom w:val="none" w:color="000000" w:sz="4"/>
                <w:right w:val="none" w:color="000000" w:sz="4"/>
                <w:insideH w:val="none"/>
                <w:insideV w:val="none"/>
              </w:tblBorders>
            </w:tblPr>
            <w:tblGrid>
              <w:gridCol w:w="409"/>
              <w:gridCol w:w="743"/>
              <w:gridCol w:w="2199"/>
              <w:gridCol w:w="1289"/>
              <w:gridCol w:w="470"/>
              <w:gridCol w:w="485"/>
            </w:tblGrid>
            <w:tr>
              <w:tc>
                <w:tcPr>
                  <w:tcW w:type="dxa" w:w="335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扣分结果</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扣分说明</w:t>
                  </w:r>
                </w:p>
              </w:tc>
            </w:tr>
            <w:tr>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服务内容</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远程检查数据</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每天</w:t>
                  </w:r>
                  <w:r>
                    <w:rPr>
                      <w:sz w:val="21"/>
                    </w:rPr>
                    <w:t>8:00—22:00，专人负责通过数据平台对监测仪器状态实施监控。监控时段内仪器故障发现时间不得超过1小时，非监控时段内仪器故障发现时间不得晚于次日8:30</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w:t>
                  </w:r>
                  <w:r>
                    <w:rPr>
                      <w:sz w:val="21"/>
                    </w:rPr>
                    <w:t>1次扣1分</w:t>
                  </w:r>
                </w:p>
              </w:tc>
              <w:tc>
                <w:tcPr>
                  <w:tcW w:type="dxa" w:w="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会商与信息交流</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出现仪器故障、监测数据异常等情况时以电话和书面形式及时上报</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w:t>
                  </w:r>
                  <w:r>
                    <w:rPr>
                      <w:sz w:val="21"/>
                    </w:rPr>
                    <w:t>1次扣1分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子站现场巡检</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频次：不少于</w:t>
                  </w:r>
                  <w:r>
                    <w:rPr>
                      <w:sz w:val="21"/>
                    </w:rPr>
                    <w:t>1次/（站•周）。巡检内容和记录要素，</w:t>
                  </w:r>
                  <w:r>
                    <w:rPr>
                      <w:sz w:val="21"/>
                    </w:rPr>
                    <w:t>主</w:t>
                  </w:r>
                  <w:r>
                    <w:rPr>
                      <w:sz w:val="21"/>
                    </w:rPr>
                    <w:t>要包括子站监测系统所有功能单元的最新运行情况和现场检查维护情况，反映在巡检记录表上的巡检内容和记录要素必须完整，并与实际子站情况相符，记录内容不完整、不规范和弄虚作假的当作缺检计算，每月的前</w:t>
                  </w:r>
                  <w:r>
                    <w:rPr>
                      <w:sz w:val="21"/>
                    </w:rPr>
                    <w:t>3天内，提交上月子站巡检记录，每季前5天进行上一季情况汇总。</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w:t>
                  </w:r>
                  <w:r>
                    <w:rPr>
                      <w:sz w:val="21"/>
                    </w:rPr>
                    <w:t>1次巡检扣1分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故障排除</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故障检修到场与故障排除（指恢复正常运行，不可抗力的破坏以及如停电停水、预防性维护、受控备件供应不上等情况除外）必须及时：</w:t>
                  </w:r>
                  <w:r>
                    <w:rPr>
                      <w:sz w:val="21"/>
                    </w:rPr>
                    <w:t>2小时内到达故障现场，水质应急事件必须1小时内到达现场，并在24小时内解决所有的故障，如故障不能排除，应马上更换备机；如在规定时间内无法恢复正常运行，则按要求规定一周两次手工采样，并委托有资质的单位进行手工分析，每周一8：30上报手工采样数据（附原始报告）</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每个参数不响应</w:t>
                  </w:r>
                  <w:r>
                    <w:rPr>
                      <w:sz w:val="21"/>
                    </w:rPr>
                    <w:t>1次或超过时限每天扣1分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子站全面维护</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按照相关要求进行维护工作</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w:t>
                  </w:r>
                  <w:r>
                    <w:rPr>
                      <w:sz w:val="21"/>
                    </w:rPr>
                    <w:t>1次扣1分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数据有效率</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每个站点单独核算数据有效率</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数据有效率为</w:t>
                  </w:r>
                  <w:r>
                    <w:rPr>
                      <w:sz w:val="21"/>
                    </w:rPr>
                    <w:t>X，按（100%-X）扣分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质量控制</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按要求的周期对每个参数实施质量控制</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w:t>
                  </w:r>
                  <w:r>
                    <w:rPr>
                      <w:sz w:val="21"/>
                    </w:rPr>
                    <w:t>1个参数1次1分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数据保密</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不论何时，中标人都应承担监测数据的保密责任；中标人按照采购人的要求，进行报告和传输有关的监测数据，未经采购人同意，不得以任何方式和渠道向外界传递任何监测数据。</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1次扣21分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按规范要求做好日常相关记录表格，每月交一次所有记录给采购人审查。采购人可随时抽查记录内容，中标人须及时提供，不得阻挠、拖延、伪造。</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期限内缺</w:t>
                  </w:r>
                  <w:r>
                    <w:rPr>
                      <w:sz w:val="21"/>
                    </w:rPr>
                    <w:t>1份扣1分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监测数据分析平台功能</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按照监测数据分析平台技术要求提供相关功能及服务。如果相关功能出现故障，必须</w:t>
                  </w:r>
                  <w:r>
                    <w:rPr>
                      <w:sz w:val="21"/>
                    </w:rPr>
                    <w:t>24小时内排除故障（指恢复正常运行，不可抗力的破坏以及如停电停水、预防性维护、受控备件供应不上等情况除外）。</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每个功能不响应</w:t>
                  </w:r>
                  <w:r>
                    <w:rPr>
                      <w:sz w:val="21"/>
                    </w:rPr>
                    <w:t>1次扣1分；超过故障排除时限，每个不响应的功能每天扣2分。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质控考核</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接受本单位或上级部门考核的定期或不定期考核</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上级部门考核不合格</w:t>
                  </w:r>
                  <w:r>
                    <w:rPr>
                      <w:sz w:val="21"/>
                    </w:rPr>
                    <w:t>1次扣21分；本单位内部考核1个参数1次不合格扣2分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工作人员按要求开展各项工作</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工作拖拉、推诿、态度恶劣、语言过激造成不良影响的扣</w:t>
                  </w:r>
                  <w:r>
                    <w:rPr>
                      <w:sz w:val="21"/>
                    </w:rPr>
                    <w:t>5分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记录、报告规范</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所有记录须字体清晰，不得模糊潦草，并按规范填写相应内容。</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1项扣0.5分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其他（是否存在不满足合同或相关规范要求的情况）</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不满足合同或相关规范要求，</w:t>
                  </w:r>
                </w:p>
                <w:p>
                  <w:pPr>
                    <w:pStyle w:val="null3"/>
                    <w:jc w:val="center"/>
                  </w:pPr>
                  <w:r>
                    <w:rPr>
                      <w:sz w:val="21"/>
                    </w:rPr>
                    <w:t>但对数据不造成影响的项目</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1项扣1分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vMerge/>
                  <w:tcBorders>
                    <w:top w:val="none" w:color="000000" w:sz="4"/>
                    <w:left w:val="none" w:color="000000" w:sz="4"/>
                    <w:bottom w:val="non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不满足合同或相关规范要求，</w:t>
                  </w:r>
                </w:p>
                <w:p>
                  <w:pPr>
                    <w:pStyle w:val="null3"/>
                    <w:jc w:val="center"/>
                  </w:pPr>
                  <w:r>
                    <w:rPr>
                      <w:sz w:val="21"/>
                    </w:rPr>
                    <w:t>且可能对数据造成严重影响的项目</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1项扣3分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9"/>
                  <w:vMerge/>
                  <w:tcBorders>
                    <w:top w:val="none" w:color="000000" w:sz="4"/>
                    <w:left w:val="single" w:color="000000" w:sz="4"/>
                    <w:bottom w:val="single" w:color="000000" w:sz="4"/>
                    <w:right w:val="single" w:color="000000" w:sz="4"/>
                  </w:tcBorders>
                </w:tcPr>
                <w:p/>
              </w:tc>
              <w:tc>
                <w:tcPr>
                  <w:tcW w:type="dxa" w:w="743"/>
                  <w:vMerge/>
                  <w:tcBorders>
                    <w:top w:val="none" w:color="000000" w:sz="4"/>
                    <w:left w:val="none" w:color="000000" w:sz="4"/>
                    <w:bottom w:val="none" w:color="000000" w:sz="4"/>
                    <w:right w:val="single" w:color="000000" w:sz="4"/>
                  </w:tcBorders>
                </w:tcP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不满足合同或相关规范要求，且已对数据造成严重影响的项目</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1项扣5分</w:t>
                  </w:r>
                </w:p>
              </w:tc>
              <w:tc>
                <w:tcPr>
                  <w:tcW w:type="dxa" w:w="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5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本服务季度考核总得分</w:t>
                  </w:r>
                </w:p>
              </w:tc>
              <w:tc>
                <w:tcPr>
                  <w:tcW w:type="dxa" w:w="224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415"/>
          </w:tcPr>
          <w:p>
            <w:pPr>
              <w:pStyle w:val="null3"/>
            </w:pPr>
            <w:r>
              <w:rPr/>
              <w:t>7</w:t>
            </w:r>
          </w:p>
        </w:tc>
        <w:tc>
          <w:tcPr>
            <w:tcW w:type="dxa" w:w="5814"/>
          </w:tcPr>
          <w:p>
            <w:pPr>
              <w:pStyle w:val="null3"/>
              <w:jc w:val="both"/>
            </w:pPr>
            <w:r>
              <w:rPr>
                <w:sz w:val="21"/>
                <w:b/>
              </w:rPr>
              <w:t>人员</w:t>
            </w:r>
            <w:r>
              <w:rPr>
                <w:sz w:val="21"/>
                <w:b/>
              </w:rPr>
              <w:t>资质</w:t>
            </w:r>
            <w:r>
              <w:rPr>
                <w:sz w:val="21"/>
                <w:b/>
              </w:rPr>
              <w:t>要求</w:t>
            </w:r>
          </w:p>
          <w:p>
            <w:pPr>
              <w:pStyle w:val="null3"/>
              <w:jc w:val="both"/>
            </w:pPr>
            <w:r>
              <w:rPr>
                <w:sz w:val="21"/>
              </w:rPr>
              <w:t>（一）中标人的运维人员应经培训合格后上岗，具有相关的专业知识，能独立完成水站维护工作。</w:t>
            </w:r>
          </w:p>
          <w:p>
            <w:pPr>
              <w:pStyle w:val="null3"/>
              <w:jc w:val="both"/>
            </w:pPr>
            <w:r>
              <w:rPr>
                <w:sz w:val="21"/>
              </w:rPr>
              <w:t>（二）中标人需保证项目团队中项目负责人具备</w:t>
            </w:r>
            <w:r>
              <w:rPr>
                <w:sz w:val="21"/>
              </w:rPr>
              <w:t>与本项目相关</w:t>
            </w:r>
            <w:r>
              <w:rPr>
                <w:sz w:val="21"/>
              </w:rPr>
              <w:t>中级（或以上）技术职称，</w:t>
            </w:r>
            <w:r>
              <w:rPr>
                <w:sz w:val="21"/>
              </w:rPr>
              <w:t>具</w:t>
            </w:r>
            <w:r>
              <w:rPr>
                <w:sz w:val="21"/>
              </w:rPr>
              <w:t>有</w:t>
            </w:r>
            <w:r>
              <w:rPr>
                <w:sz w:val="21"/>
              </w:rPr>
              <w:t>3</w:t>
            </w:r>
            <w:r>
              <w:rPr>
                <w:sz w:val="21"/>
              </w:rPr>
              <w:t>年</w:t>
            </w:r>
            <w:r>
              <w:rPr>
                <w:sz w:val="21"/>
              </w:rPr>
              <w:t>水质自动监测站运维经验；项目团队中骨干人员（不含项目负责人）不得少于</w:t>
            </w:r>
            <w:r>
              <w:rPr>
                <w:sz w:val="21"/>
              </w:rPr>
              <w:t>3人，</w:t>
            </w:r>
            <w:r>
              <w:rPr>
                <w:sz w:val="21"/>
              </w:rPr>
              <w:t>骨干人员</w:t>
            </w:r>
            <w:r>
              <w:rPr>
                <w:sz w:val="21"/>
              </w:rPr>
              <w:t>需</w:t>
            </w:r>
            <w:r>
              <w:rPr>
                <w:sz w:val="21"/>
              </w:rPr>
              <w:t>具备</w:t>
            </w:r>
            <w:r>
              <w:rPr>
                <w:sz w:val="21"/>
              </w:rPr>
              <w:t>3年</w:t>
            </w:r>
            <w:r>
              <w:rPr>
                <w:sz w:val="21"/>
              </w:rPr>
              <w:t>水站运维经验</w:t>
            </w:r>
            <w:r>
              <w:rPr>
                <w:sz w:val="21"/>
              </w:rPr>
              <w:t>；运维人员（含骨干人员）数量与站点数量比值高于</w:t>
            </w:r>
            <w:r>
              <w:rPr>
                <w:sz w:val="21"/>
              </w:rPr>
              <w:t>1/3。</w:t>
            </w:r>
          </w:p>
        </w:tc>
      </w:tr>
      <w:tr>
        <w:tc>
          <w:tcPr>
            <w:tcW w:type="dxa" w:w="2076"/>
          </w:tcPr>
          <w:p/>
        </w:tc>
        <w:tc>
          <w:tcPr>
            <w:tcW w:type="dxa" w:w="415"/>
          </w:tcPr>
          <w:p>
            <w:pPr>
              <w:pStyle w:val="null3"/>
            </w:pPr>
            <w:r>
              <w:rPr/>
              <w:t>8</w:t>
            </w:r>
          </w:p>
        </w:tc>
        <w:tc>
          <w:tcPr>
            <w:tcW w:type="dxa" w:w="5814"/>
          </w:tcPr>
          <w:p>
            <w:pPr>
              <w:pStyle w:val="null3"/>
              <w:jc w:val="both"/>
            </w:pPr>
            <w:r>
              <w:rPr>
                <w:sz w:val="21"/>
              </w:rPr>
              <w:t>其他要求</w:t>
            </w:r>
          </w:p>
          <w:p>
            <w:pPr>
              <w:pStyle w:val="null3"/>
              <w:numPr>
                <w:ilvl w:val="0"/>
                <w:numId w:val="1"/>
              </w:numPr>
              <w:jc w:val="both"/>
            </w:pPr>
            <w:r>
              <w:rPr>
                <w:sz w:val="21"/>
              </w:rPr>
              <w:t>1、投标人</w:t>
            </w:r>
            <w:r>
              <w:rPr>
                <w:sz w:val="21"/>
              </w:rPr>
              <w:t>针对技术要求并结合所在的地域、人员、仪器设备和水质等情况提供完整的系统集成方案【（包括水质自动监测系统中采水单元、配水及预处理单元、分析单元、控制单元、数据采集与传输和辅助单元等各单元完整、全面的集成方案）、仪器设备安装调试和联网方案。系统集成方案按照技术要求响应，科学合理并遵循先进、实用、专业、安全、经济等原则；仪器设备安装调试方案明确、细致、合理、技术路线清晰，时间进度安排明确；联网方案能实现数据顺利传输至采购人统一的数据管理平台，方案细致合理、完整、科学】</w:t>
            </w:r>
          </w:p>
          <w:p>
            <w:pPr>
              <w:pStyle w:val="null3"/>
              <w:numPr>
                <w:ilvl w:val="0"/>
                <w:numId w:val="1"/>
              </w:numPr>
              <w:jc w:val="both"/>
            </w:pPr>
            <w:r>
              <w:rPr>
                <w:sz w:val="21"/>
              </w:rPr>
              <w:t>2、投标人</w:t>
            </w:r>
            <w:r>
              <w:rPr>
                <w:sz w:val="21"/>
              </w:rPr>
              <w:t>针对技术要求并结合所在的地域、人员、仪器设备和水质等情况提供水质自动监测站质控方案（质控方案中须包括标样核查、留样复测、加标回收率测试及其他满足质控目标的质控措施，质控工作安排科学合理，数据审核方法明确）</w:t>
            </w:r>
            <w:r>
              <w:rPr>
                <w:sz w:val="21"/>
              </w:rPr>
              <w:t>。</w:t>
            </w:r>
          </w:p>
          <w:p>
            <w:pPr>
              <w:pStyle w:val="null3"/>
              <w:numPr>
                <w:ilvl w:val="0"/>
                <w:numId w:val="1"/>
              </w:numPr>
              <w:jc w:val="both"/>
            </w:pPr>
            <w:r>
              <w:rPr>
                <w:sz w:val="21"/>
              </w:rPr>
              <w:t>3、投标人</w:t>
            </w:r>
            <w:r>
              <w:rPr>
                <w:sz w:val="21"/>
              </w:rPr>
              <w:t>针对技术要求提供水质自动监测站运维应急预案【运维应急预案内容包括突发性水质污染、特殊时期（丰水期、枯水期等）、自然灾害、水电检修、临时停电或节假日、重大活动或被偷盗破坏等情况，是否具备有效的预防和应急措施等】</w:t>
            </w:r>
            <w:r>
              <w:rPr>
                <w:sz w:val="21"/>
              </w:rPr>
              <w:t>。</w:t>
            </w:r>
          </w:p>
          <w:p>
            <w:pPr>
              <w:pStyle w:val="null3"/>
              <w:numPr>
                <w:ilvl w:val="0"/>
                <w:numId w:val="1"/>
              </w:numPr>
              <w:jc w:val="both"/>
            </w:pPr>
            <w:r>
              <w:rPr>
                <w:sz w:val="21"/>
              </w:rPr>
              <w:t>4、投标人根据本项目需求</w:t>
            </w:r>
            <w:r>
              <w:rPr>
                <w:sz w:val="21"/>
              </w:rPr>
              <w:t>提供的服务方案</w:t>
            </w:r>
            <w:r>
              <w:rPr>
                <w:sz w:val="21"/>
              </w:rPr>
              <w:t>，</w:t>
            </w:r>
            <w:r>
              <w:rPr>
                <w:sz w:val="21"/>
              </w:rPr>
              <w:t>包括</w:t>
            </w:r>
            <w:r>
              <w:rPr>
                <w:sz w:val="21"/>
              </w:rPr>
              <w:t>但不限于</w:t>
            </w:r>
            <w:r>
              <w:rPr>
                <w:sz w:val="21"/>
              </w:rPr>
              <w:t>备用及便携设备配置、人员</w:t>
            </w:r>
            <w:r>
              <w:rPr>
                <w:sz w:val="21"/>
              </w:rPr>
              <w:t>配置及安排</w:t>
            </w:r>
            <w:r>
              <w:rPr>
                <w:sz w:val="21"/>
              </w:rPr>
              <w:t>、车辆</w:t>
            </w:r>
            <w:r>
              <w:rPr>
                <w:sz w:val="21"/>
              </w:rPr>
              <w:t>配置（本项目站点多且分散，要求中标人需配置专用车辆</w:t>
            </w:r>
            <w:r>
              <w:rPr>
                <w:sz w:val="21"/>
              </w:rPr>
              <w:t>1台，用于本项目）</w:t>
            </w:r>
            <w:r>
              <w:rPr>
                <w:sz w:val="21"/>
              </w:rPr>
              <w:t>、运维制度、运维方案）</w:t>
            </w:r>
            <w:r>
              <w:rPr>
                <w:sz w:val="21"/>
              </w:rPr>
              <w:t>。</w:t>
            </w:r>
          </w:p>
          <w:p>
            <w:pPr>
              <w:pStyle w:val="null3"/>
              <w:numPr>
                <w:ilvl w:val="0"/>
                <w:numId w:val="1"/>
              </w:numPr>
              <w:jc w:val="both"/>
            </w:pPr>
            <w:r>
              <w:rPr>
                <w:sz w:val="21"/>
              </w:rPr>
              <w:t>5、对照服务要求提供的数据分析服务方案</w:t>
            </w:r>
            <w:r>
              <w:rPr>
                <w:sz w:val="21"/>
              </w:rPr>
              <w:t>，包含但不限于</w:t>
            </w:r>
            <w:r>
              <w:rPr>
                <w:sz w:val="21"/>
              </w:rPr>
              <w:t>如何运用本项目的水质自动监测数据及采购人提供的顺德区水质自动监测数据和手工监测数据进行顺德区水环境数据分析及预警预报服务</w:t>
            </w:r>
            <w:r>
              <w:rPr>
                <w:sz w:val="21"/>
              </w:rPr>
              <w:t>等。</w:t>
            </w:r>
          </w:p>
          <w:p>
            <w:pPr>
              <w:pStyle w:val="null3"/>
              <w:numPr>
                <w:ilvl w:val="0"/>
                <w:numId w:val="1"/>
              </w:numPr>
              <w:jc w:val="both"/>
            </w:pPr>
            <w:r>
              <w:rPr>
                <w:sz w:val="21"/>
              </w:rPr>
              <w:t>6、投标人具备</w:t>
            </w:r>
            <w:r>
              <w:rPr>
                <w:sz w:val="21"/>
              </w:rPr>
              <w:t>“</w:t>
            </w:r>
            <w:r>
              <w:rPr>
                <w:sz w:val="21"/>
              </w:rPr>
              <w:t>地表水自动监测</w:t>
            </w:r>
            <w:r>
              <w:rPr>
                <w:sz w:val="21"/>
              </w:rPr>
              <w:t>”的信息化技术能力，在服务过程中持续提升相关检测能力及监测手段，提高服务水平。</w:t>
            </w:r>
          </w:p>
          <w:p>
            <w:pPr>
              <w:pStyle w:val="null3"/>
              <w:jc w:val="both"/>
            </w:pPr>
            <w:r>
              <w:rPr>
                <w:sz w:val="21"/>
              </w:rPr>
              <w:t>投标人对投入本项目使用的仪器设备，需提高必要的备品备件</w:t>
            </w:r>
            <w:r>
              <w:rPr>
                <w:sz w:val="21"/>
              </w:rPr>
              <w:t>（易损易耗件、常用零备件、仪器备件、采配水及控制系统备件等）</w:t>
            </w:r>
            <w:r>
              <w:rPr>
                <w:sz w:val="21"/>
              </w:rPr>
              <w:t>及备用设备，以保证服务质量。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佛山市生态环境局顺德分局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采购机构代理服务收费标准：以本项目的中标金额作为招标代理服务费的计算基数下浮15%计算。 招标代理服务费收费采用差额定率累进法计算方式。【中标金额：100万元以下，费率：1.5%。 （2）中标金额：100～500万元，费率：0.8%。 （3）中标金额：500～1000万元，费率：0.45%。（4）中标金额：1000～5000万元，费率：0.25%。】。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 xml:space="preserve"> 其他，一、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二、中小企业划分标准所属行业，本项目对应所属行业：其他未列明企业。其他未列明行业：从业人员300人以下的为中小微型企业。其中，从业人员100人及以上的为中型企业；从业人员10人及以上的为小型企业；从业人员10人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广东省公共资源交易平台（佛山市）（https://ygp.gdzwfw.gov.cn/ggzy-portal/#/440600/jygg）及采购代理机构（https://www.gdbdzb.com/）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广东省公共资源交易平台（佛山市）（https://ygp.gdzwfw.gov.cn/ggzy-portal/#/440600/jygg）及采购代理机构（https://www.gdbdzb.com/）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何炜健</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顺德区国、省考断面水质保障自动监测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采购包1（2025年顺德区国、省考断面水质保障自动监测服务项目）：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采购包1（2025年顺德区国、省考断面水质保障自动监测服务项目）：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须提供下列任一项证明材料：1.提供《政府采购供应商资格信用承诺函》；2.按投标（响应）文件格式填报设备及专业技术能力情况。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采购包1（2025年顺德区国、省考断面水质保障自动监测服务项目）：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签署和盖章</w:t>
            </w:r>
          </w:p>
        </w:tc>
        <w:tc>
          <w:tcPr>
            <w:tcW w:type="dxa" w:w="4238"/>
          </w:tcPr>
          <w:p>
            <w:pPr>
              <w:pStyle w:val="null3"/>
            </w:pPr>
            <w:r>
              <w:rPr/>
              <w:t>投标文件符合招标文件规定的签署和盖章要求。</w:t>
            </w:r>
          </w:p>
        </w:tc>
      </w:tr>
      <w:tr>
        <w:tc>
          <w:tcPr>
            <w:tcW w:type="dxa" w:w="890"/>
          </w:tcPr>
          <w:p>
            <w:pPr>
              <w:pStyle w:val="null3"/>
            </w:pPr>
            <w:r>
              <w:rPr/>
              <w:t>3</w:t>
            </w:r>
          </w:p>
        </w:tc>
        <w:tc>
          <w:tcPr>
            <w:tcW w:type="dxa" w:w="3178"/>
          </w:tcPr>
          <w:p>
            <w:pPr>
              <w:pStyle w:val="null3"/>
            </w:pPr>
            <w:r>
              <w:rPr/>
              <w:t>标注“★”的实质性条款响应情况</w:t>
            </w:r>
          </w:p>
        </w:tc>
        <w:tc>
          <w:tcPr>
            <w:tcW w:type="dxa" w:w="4238"/>
          </w:tcPr>
          <w:p>
            <w:pPr>
              <w:pStyle w:val="null3"/>
            </w:pPr>
            <w:r>
              <w:rPr/>
              <w:t>完全满足招标文件的实质性条款（即标注★号条款）无负偏离的。</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1.报价符合招标文件要求且报价是固定唯一的。 2.若评标委员会认为投标供应商的报价明显低于其他通过符合性审查投标供应商的报价，有可能影响产品质量或者不能诚信履约的，应当要求其在评标现场合理的时间内提供书面说明，必要时提交相关证明材料；投标供应商不能证明其报价合理性的，评标委员会应当将其作为无效投标处理。</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采购包1(2025年顺德区国、省考断面水质保障自动监测服务项目):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对技术条款的响应性 (16.0分)</w:t>
            </w:r>
          </w:p>
        </w:tc>
        <w:tc>
          <w:tcPr>
            <w:tcW w:type="dxa" w:w="5076"/>
          </w:tcPr>
          <w:p>
            <w:pPr>
              <w:pStyle w:val="null3"/>
              <w:jc w:val="left"/>
            </w:pPr>
            <w:r>
              <w:rPr/>
              <w:t>能响应或优于招标文件的“▲”重要技术条款的，每一项得4分，最高得16分。 注：带“▲”重要技术条款须按用户需求书提供证明材料，没有列明证明材料的须提供产品说明书或彩页或检测报告或承诺函扫描件等作为证明材料。</w:t>
            </w:r>
          </w:p>
        </w:tc>
      </w:tr>
      <w:tr>
        <w:tc>
          <w:tcPr>
            <w:tcW w:type="dxa" w:w="922"/>
            <w:gridSpan w:val="2"/>
            <w:vMerge/>
          </w:tcPr>
          <w:p/>
        </w:tc>
        <w:tc>
          <w:tcPr>
            <w:tcW w:type="dxa" w:w="2307"/>
          </w:tcPr>
          <w:p>
            <w:pPr>
              <w:pStyle w:val="null3"/>
              <w:jc w:val="left"/>
            </w:pPr>
            <w:r>
              <w:rPr/>
              <w:t>设计实施方案 (10.0分)</w:t>
            </w:r>
          </w:p>
        </w:tc>
        <w:tc>
          <w:tcPr>
            <w:tcW w:type="dxa" w:w="5076"/>
          </w:tcPr>
          <w:p>
            <w:pPr>
              <w:pStyle w:val="null3"/>
              <w:jc w:val="left"/>
            </w:pPr>
            <w:r>
              <w:rPr/>
              <w:t>根据投标人针对技术要求并结合所在的地域、人员、仪器设备和水质等情况提供完整的系统集成方案【（包括水质自动监测系统中采水单元、配水及预处理单元、分析单元、控制单元、数据采集与传输和辅助单元等各单元完整、全面的集成方案）、仪器设备安装调试和联网方案。系统集成方案按照技术要求响应，科学合理并遵循先进、实用、专业、安全、经济等原则；仪器设备安装调试方案明确、细致、合理、技术路线清晰，时间进度安排明确；联网方案能实现数据顺利传输至采购人统一的数据管理平台，方案细致合理、完整、科学】进行评审： 1、方案符合本项目需求，包含了以上所有针对本项目的内容，设备的选型合理，对项目的理解、重难点分析深，建设方案科学，可行性高，得10分； 2、方案基本符合本项目需求，只缺少不超过1项内容的，设备的选型较好，对项目的理解、重难点分析较深，建设方案可行性较高，得6分； 3、设备的选型较差，对项目的理解、重难点分析较浅，建设方案可行性较差，得2分； 4、没有提供方案不得分。</w:t>
            </w:r>
          </w:p>
        </w:tc>
      </w:tr>
      <w:tr>
        <w:tc>
          <w:tcPr>
            <w:tcW w:type="dxa" w:w="922"/>
            <w:gridSpan w:val="2"/>
            <w:vMerge/>
          </w:tcPr>
          <w:p/>
        </w:tc>
        <w:tc>
          <w:tcPr>
            <w:tcW w:type="dxa" w:w="2307"/>
          </w:tcPr>
          <w:p>
            <w:pPr>
              <w:pStyle w:val="null3"/>
              <w:jc w:val="left"/>
            </w:pPr>
            <w:r>
              <w:rPr/>
              <w:t>质控方案 (10.0分)</w:t>
            </w:r>
          </w:p>
        </w:tc>
        <w:tc>
          <w:tcPr>
            <w:tcW w:type="dxa" w:w="5076"/>
          </w:tcPr>
          <w:p>
            <w:pPr>
              <w:pStyle w:val="null3"/>
              <w:jc w:val="left"/>
            </w:pPr>
            <w:r>
              <w:rPr/>
              <w:t>根据投标人针对技术要求并结合所在的地域、人员、仪器设备和水质等情况提供水质自动监测站质控方案（质控方案中须包括标样核查、留样复测、加标回收率测试及其他满足质控目标的质控措施，质控工作安排科学合理，数据审核方法明确）进行评审： 1、方案符合本项目需求，包含了以上所有针对本项目的内容，数据质控体系和数据质控方案完善，得10分； 2、方案基本符合本项目需求，只缺少不超过1项内容的，数据质控体系和数据质控方案较好，得6分； 3、数据质控体系和数据质控方案较差，得2分； 4、没有提供方案不得分。</w:t>
            </w:r>
          </w:p>
        </w:tc>
      </w:tr>
      <w:tr>
        <w:tc>
          <w:tcPr>
            <w:tcW w:type="dxa" w:w="922"/>
            <w:gridSpan w:val="2"/>
            <w:vMerge/>
          </w:tcPr>
          <w:p/>
        </w:tc>
        <w:tc>
          <w:tcPr>
            <w:tcW w:type="dxa" w:w="2307"/>
          </w:tcPr>
          <w:p>
            <w:pPr>
              <w:pStyle w:val="null3"/>
              <w:jc w:val="left"/>
            </w:pPr>
            <w:r>
              <w:rPr/>
              <w:t>应急预案 (9.0分)</w:t>
            </w:r>
          </w:p>
        </w:tc>
        <w:tc>
          <w:tcPr>
            <w:tcW w:type="dxa" w:w="5076"/>
          </w:tcPr>
          <w:p>
            <w:pPr>
              <w:pStyle w:val="null3"/>
              <w:jc w:val="left"/>
            </w:pPr>
            <w:r>
              <w:rPr/>
              <w:t>根据投标人针对技术要求提供水质自动监测站运维应急预案【运维应急预案内容包括突发性水质污染、特殊时期（丰水期、枯水期等）、自然灾害、水电检修、临时停电或节假日、重大活动或被偷盗破坏等情况，是否具备有效的预防和应急措施等】进行评审： 1、方案符合本项目需求，包含了以上所有针对本项目的内容，方案详细有效，具备有效的预防和应急措施，响应速度快，得9分； 2、方案基本符合本项目需求，只缺少不超过1项内容的，较详细有效，基本具备有效的预防和应急措施，响应速度较快，得6分； 3、方案简单，预防和应急措施较差，响应速度慢，得2分； 4、没有提供方案不得分。</w:t>
            </w:r>
          </w:p>
        </w:tc>
      </w:tr>
      <w:tr>
        <w:tc>
          <w:tcPr>
            <w:tcW w:type="dxa" w:w="922"/>
            <w:gridSpan w:val="2"/>
            <w:vMerge/>
          </w:tcPr>
          <w:p/>
        </w:tc>
        <w:tc>
          <w:tcPr>
            <w:tcW w:type="dxa" w:w="2307"/>
          </w:tcPr>
          <w:p>
            <w:pPr>
              <w:pStyle w:val="null3"/>
              <w:jc w:val="left"/>
            </w:pPr>
            <w:r>
              <w:rPr/>
              <w:t>服务方案 (10.0分)</w:t>
            </w:r>
          </w:p>
        </w:tc>
        <w:tc>
          <w:tcPr>
            <w:tcW w:type="dxa" w:w="5076"/>
          </w:tcPr>
          <w:p>
            <w:pPr>
              <w:pStyle w:val="null3"/>
              <w:jc w:val="left"/>
            </w:pPr>
            <w:r>
              <w:rPr/>
              <w:t>根据投标人提供的服务方案（包括备用及便携设备配置、人员配置及安排、车辆配置、运维制度、运维方案）进行评审： 1、方案符合本项目需求，包含了以上所有针对本项目的内容，方案详细有效，配置合理，得10分； 2、方案基本符合本项目需求，只缺少不超过1项内容的，方案较详细有效，配置较合理，得6分； 3、方案简单，配置差，得2分； 4、没有提供方案不得分。</w:t>
            </w:r>
          </w:p>
        </w:tc>
      </w:tr>
      <w:tr>
        <w:tc>
          <w:tcPr>
            <w:tcW w:type="dxa" w:w="922"/>
            <w:gridSpan w:val="2"/>
            <w:vMerge/>
          </w:tcPr>
          <w:p/>
        </w:tc>
        <w:tc>
          <w:tcPr>
            <w:tcW w:type="dxa" w:w="2307"/>
          </w:tcPr>
          <w:p>
            <w:pPr>
              <w:pStyle w:val="null3"/>
              <w:jc w:val="left"/>
            </w:pPr>
            <w:r>
              <w:rPr/>
              <w:t>数据分析服务方案 (10.0分)</w:t>
            </w:r>
          </w:p>
        </w:tc>
        <w:tc>
          <w:tcPr>
            <w:tcW w:type="dxa" w:w="5076"/>
          </w:tcPr>
          <w:p>
            <w:pPr>
              <w:pStyle w:val="null3"/>
              <w:jc w:val="left"/>
            </w:pPr>
            <w:r>
              <w:rPr/>
              <w:t>根据投标人对照服务要求提供的数据分析服务方案（描述中标后如何运用本项目的水质自动监测数据及采购人提供的顺德区水质自动监测数据和手工监测数据进行顺德区水环境数据分析及预警预报服务）进行评审： 1、方案符合本项目需求，包含了以上所有针对本项目的内容，数据分析服务方案完善，分析方法准确、合适，指导性强，得10分； 2、方案基本符合本项目需求，数据分析服务方案基本完善，分析方法较准确，指导性较强，得6分； 3、数据分析服务方案不完善，分析方法不准确，指导性低，得2分； 4、没有提供方案不得分。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企业信誉 (2.0分)</w:t>
            </w:r>
          </w:p>
        </w:tc>
        <w:tc>
          <w:tcPr>
            <w:tcW w:type="dxa" w:w="5076"/>
          </w:tcPr>
          <w:p>
            <w:pPr>
              <w:pStyle w:val="null3"/>
              <w:jc w:val="left"/>
            </w:pPr>
            <w:r>
              <w:rPr/>
              <w:t>投标人获得质量管理体系认证证书，且认证范围包含与本项目相关的环境监测类设备或运营维护的，得2分。 注：须同时提供认证证书扫描件及在全国认证认可信息公共服务平台（http://cx.cnca.cn/CertECloud/index/page）对体系证书的信息查询“有效”截图作为证明材料，已失效、撤销、暂停或不提供的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仪器的环保认证情况 (2.0分)</w:t>
            </w:r>
          </w:p>
        </w:tc>
        <w:tc>
          <w:tcPr>
            <w:tcW w:type="dxa" w:w="5076"/>
          </w:tcPr>
          <w:p>
            <w:pPr>
              <w:pStyle w:val="null3"/>
              <w:jc w:val="left"/>
            </w:pPr>
            <w:r>
              <w:rPr/>
              <w:t>投标人拟投入本项目的以下仪器：水质自动分析仪器（1）地表水水质五参数（水温、pH、溶解氧、电导率、浊度）；（2）氨氮；（3）高锰酸盐指数；（4）总磷；（5）总氮；取得中国环境保护产品认证：每提供一项得0.4分，最高得2分。 【注：须提供有效的认证证书及以上仪器的购买发票扫描件（投标人为仪器生产厂家则无须提供发票）。】</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2022年1月1日至今（以签订时间为准），投标人销售或建设或运维的水质自动监测子站数量（监测内容包含：水温、pH值、溶解氧、浊度、电导率、高锰酸盐指数、氨氮、总磷、总氮。），每提供一个得0.5分，最高得10分。 【注：（1）如多个合同对应的子站相同，每个子站只计算一次，不重复计分。（2）须同时在投标文件中提供所有业绩的站点清单列表和合同扫描件，不提供不得分。】</w:t>
            </w:r>
          </w:p>
        </w:tc>
      </w:tr>
      <w:tr>
        <w:tc>
          <w:tcPr>
            <w:tcW w:type="dxa" w:w="922"/>
            <w:gridSpan w:val="2"/>
            <w:vMerge/>
          </w:tcPr>
          <w:p/>
        </w:tc>
        <w:tc>
          <w:tcPr>
            <w:tcW w:type="dxa" w:w="2307"/>
          </w:tcPr>
          <w:p>
            <w:pPr>
              <w:pStyle w:val="null3"/>
              <w:jc w:val="left"/>
            </w:pPr>
            <w:r>
              <w:rPr/>
              <w:t>计算机技术力量 (1.0分)</w:t>
            </w:r>
          </w:p>
        </w:tc>
        <w:tc>
          <w:tcPr>
            <w:tcW w:type="dxa" w:w="5076"/>
          </w:tcPr>
          <w:p>
            <w:pPr>
              <w:pStyle w:val="null3"/>
              <w:jc w:val="left"/>
            </w:pPr>
            <w:r>
              <w:rPr/>
              <w:t>投标人获得与“地表水自动监测”等相关软件的计算机软件著作权登记证书的，每个证书得0.5分，最高得1分。 【注：须提供有效期内的证书扫描件，证书上的著作权人须为投标人，不提供不得分。】</w:t>
            </w:r>
          </w:p>
        </w:tc>
      </w:tr>
      <w:tr>
        <w:tc>
          <w:tcPr>
            <w:tcW w:type="dxa" w:w="922"/>
            <w:gridSpan w:val="2"/>
            <w:vMerge/>
          </w:tcPr>
          <w:p/>
        </w:tc>
        <w:tc>
          <w:tcPr>
            <w:tcW w:type="dxa" w:w="2307"/>
          </w:tcPr>
          <w:p>
            <w:pPr>
              <w:pStyle w:val="null3"/>
              <w:jc w:val="left"/>
            </w:pPr>
            <w:r>
              <w:rPr/>
              <w:t>机构、人员配置和技术能力 (6.0分)</w:t>
            </w:r>
          </w:p>
        </w:tc>
        <w:tc>
          <w:tcPr>
            <w:tcW w:type="dxa" w:w="5076"/>
          </w:tcPr>
          <w:p>
            <w:pPr>
              <w:pStyle w:val="null3"/>
              <w:jc w:val="left"/>
            </w:pPr>
            <w:r>
              <w:rPr/>
              <w:t>投标人拟投入本项目的技术服务团队： 1、项目负责人（限1人）：具有与本项目相关的正高级技术职称的，每个证书得1分，具有与本项目相关的副高技术职称的，每个证书得0.5分，最高得1分； 2、技术服务人员（项目负责人除外）： （1）具有与本项目相关专业的中级及以上技术职称的，每个证书得0.5分，最高得3分； （2）具有自动监控（水）运行工证书或环境监测部门颁发的水质自动监测运维培训合格证书，每个得0.5分，最高得2分。 【注： 本项最高得6分。 一人具有多个证书的不重复计分。须同时提供人员证书扫描件（或网页打印件）及提供人员投标截止时间前3个月（包含投标截止当月并往前顺推3个月）任意一个月在本单位购买社保证明扫描件，不提供不得分。】</w:t>
            </w:r>
          </w:p>
        </w:tc>
      </w:tr>
      <w:tr>
        <w:tc>
          <w:tcPr>
            <w:tcW w:type="dxa" w:w="922"/>
            <w:gridSpan w:val="2"/>
            <w:vMerge/>
          </w:tcPr>
          <w:p/>
        </w:tc>
        <w:tc>
          <w:tcPr>
            <w:tcW w:type="dxa" w:w="2307"/>
          </w:tcPr>
          <w:p>
            <w:pPr>
              <w:pStyle w:val="null3"/>
              <w:jc w:val="left"/>
            </w:pPr>
            <w:r>
              <w:rPr/>
              <w:t>备机和备件供应情况 (4.0分)</w:t>
            </w:r>
          </w:p>
        </w:tc>
        <w:tc>
          <w:tcPr>
            <w:tcW w:type="dxa" w:w="5076"/>
          </w:tcPr>
          <w:p>
            <w:pPr>
              <w:pStyle w:val="null3"/>
              <w:jc w:val="left"/>
            </w:pPr>
            <w:r>
              <w:rPr/>
              <w:t>1、对应仪器设备情况，投标人承诺提供品种齐全、品质优良的备品备件（易损易耗件、常用零备件、仪器备件、采配水及控制系统备件等），每包备品备件按不低于10比1的比例配备，得2分； 2、对应仪器设备情况，投标人承诺提供与所投产品同规格型号的备机，备机的比例不低于每10台备1台且备机种类覆盖五参数（水温、pH、溶解氧、电导率、浊度）、氨氮、高锰酸盐指数、总磷、总氮9项主要监测指标，得2分。 【注：本项最高得4分。须提供承诺函作为证明材料，格式自拟。】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sz w:val="68"/>
          <w:b/>
        </w:rPr>
        <w:t>佛山市政府采购项目</w:t>
      </w:r>
    </w:p>
    <w:p>
      <w:pPr>
        <w:pStyle w:val="null3"/>
        <w:ind w:firstLine="480"/>
        <w:jc w:val="center"/>
      </w:pPr>
      <w:r>
        <w:rPr>
          <w:sz w:val="68"/>
          <w:b/>
        </w:rPr>
        <w:t>合同书</w:t>
      </w:r>
    </w:p>
    <w:p>
      <w:pPr>
        <w:pStyle w:val="null3"/>
        <w:ind w:firstLine="480"/>
        <w:jc w:val="center"/>
      </w:pPr>
      <w:r>
        <w:rPr>
          <w:sz w:val="24"/>
          <w:b/>
        </w:rPr>
        <w:t>项目编号：</w:t>
      </w:r>
      <w:r>
        <w:rPr>
          <w:sz w:val="24"/>
          <w:b/>
          <w:u w:val="single"/>
        </w:rPr>
        <w:t>BDGZ2025007</w:t>
      </w:r>
    </w:p>
    <w:p>
      <w:pPr>
        <w:pStyle w:val="null3"/>
        <w:jc w:val="center"/>
      </w:pPr>
      <w:r>
        <w:rPr>
          <w:sz w:val="24"/>
          <w:b/>
        </w:rPr>
        <w:t>项目名称：</w:t>
      </w:r>
      <w:r>
        <w:rPr>
          <w:b/>
          <w:u w:val="single"/>
        </w:rPr>
        <w:t xml:space="preserve"> </w:t>
      </w:r>
      <w:r>
        <w:rPr>
          <w:sz w:val="24"/>
          <w:b/>
          <w:u w:val="single"/>
        </w:rPr>
        <w:t>2025年顺德区国、省考断面水质保障自动监测服务</w:t>
      </w:r>
      <w:r>
        <w:rPr>
          <w:sz w:val="24"/>
          <w:b/>
          <w:u w:val="single"/>
        </w:rPr>
        <w:t>项目</w:t>
      </w:r>
    </w:p>
    <w:tbl>
      <w:tblPr>
        <w:tblW w:w="0" w:type="auto"/>
        <w:tblBorders>
          <w:top w:val="none" w:color="000000" w:sz="4"/>
          <w:left w:val="none" w:color="000000" w:sz="4"/>
          <w:bottom w:val="none" w:color="000000" w:sz="4"/>
          <w:right w:val="none" w:color="000000" w:sz="4"/>
          <w:insideH w:val="none"/>
          <w:insideV w:val="none"/>
        </w:tblBorders>
      </w:tblPr>
      <w:tblGrid>
        <w:gridCol w:w="2261"/>
        <w:gridCol w:w="6045"/>
      </w:tblGrid>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8"/>
              </w:rPr>
              <w:t>甲  方：</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pPr>
            <w:r>
              <w:rPr>
                <w:sz w:val="28"/>
                <w:u w:val="single"/>
              </w:rPr>
              <w:t>佛山市生态环境局顺德分局</w:t>
            </w:r>
          </w:p>
        </w:tc>
      </w:tr>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8"/>
              </w:rPr>
              <w:t>乙  方：</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pPr>
            <w:r>
              <w:rPr>
                <w:sz w:val="19"/>
                <w:u w:val="single"/>
              </w:rPr>
              <w:t xml:space="preserve">   </w:t>
            </w:r>
            <w:r>
              <w:rPr>
                <w:sz w:val="28"/>
                <w:u w:val="single"/>
              </w:rPr>
              <w:t xml:space="preserve">（中标/成交供应商名称）   </w:t>
            </w:r>
          </w:p>
        </w:tc>
      </w:tr>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8"/>
              </w:rPr>
              <w:t>签订日期：</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 xml:space="preserve">日      </w:t>
            </w:r>
          </w:p>
        </w:tc>
      </w:tr>
    </w:tbl>
    <w:p>
      <w:pPr>
        <w:pStyle w:val="null3"/>
        <w:ind w:firstLine="480"/>
        <w:jc w:val="both"/>
      </w:pPr>
      <w:r>
        <w:rPr>
          <w:sz w:val="24"/>
          <w:i/>
        </w:rPr>
        <w:t>注：本合同仅为合同的参考文本，可根据项目的具体要求进行修订。</w:t>
      </w:r>
    </w:p>
    <w:p>
      <w:pPr>
        <w:pStyle w:val="null3"/>
        <w:ind w:firstLine="480"/>
        <w:jc w:val="both"/>
      </w:pPr>
      <w:r>
        <w:rPr/>
        <w:t xml:space="preserve"> </w:t>
      </w:r>
    </w:p>
    <w:p>
      <w:pPr>
        <w:pStyle w:val="null3"/>
        <w:jc w:val="both"/>
      </w:pPr>
      <w:r>
        <w:rPr/>
        <w:t xml:space="preserve"> </w:t>
      </w:r>
    </w:p>
    <w:p>
      <w:pPr>
        <w:pStyle w:val="null3"/>
        <w:ind w:firstLine="480"/>
        <w:jc w:val="center"/>
      </w:pPr>
      <w:r>
        <w:rPr>
          <w:sz w:val="44"/>
          <w:b/>
        </w:rPr>
        <w:t>佛山市政府采购项目合同书</w:t>
      </w:r>
    </w:p>
    <w:p>
      <w:pPr>
        <w:pStyle w:val="null3"/>
        <w:ind w:firstLine="480"/>
        <w:jc w:val="both"/>
      </w:pPr>
      <w:r>
        <w:rPr>
          <w:sz w:val="21"/>
          <w:b/>
        </w:rPr>
        <w:t>项目名称：</w:t>
      </w:r>
      <w:r>
        <w:rPr>
          <w:u w:val="single"/>
        </w:rPr>
        <w:t xml:space="preserve"> </w:t>
      </w:r>
      <w:r>
        <w:rPr>
          <w:sz w:val="21"/>
          <w:u w:val="single"/>
        </w:rPr>
        <w:t>2025年顺德区国、省考断面水质保障自动监测服务</w:t>
      </w:r>
      <w:r>
        <w:rPr>
          <w:sz w:val="21"/>
          <w:u w:val="single"/>
        </w:rPr>
        <w:t>项目</w:t>
      </w:r>
    </w:p>
    <w:p>
      <w:pPr>
        <w:pStyle w:val="null3"/>
        <w:ind w:firstLine="480"/>
        <w:jc w:val="both"/>
      </w:pPr>
      <w:r>
        <w:rPr>
          <w:sz w:val="21"/>
          <w:b/>
        </w:rPr>
        <w:t>项目编号：</w:t>
      </w:r>
      <w:r>
        <w:rPr>
          <w:u w:val="single"/>
        </w:rPr>
        <w:t>BDGZ2025007</w:t>
      </w:r>
    </w:p>
    <w:p>
      <w:pPr>
        <w:pStyle w:val="null3"/>
        <w:ind w:firstLine="480"/>
        <w:jc w:val="both"/>
      </w:pPr>
      <w:r>
        <w:rPr>
          <w:sz w:val="21"/>
          <w:b/>
        </w:rPr>
        <w:t>甲  方：</w:t>
      </w:r>
      <w:r>
        <w:rPr>
          <w:sz w:val="21"/>
          <w:u w:val="single"/>
        </w:rPr>
        <w:t>佛山市生态环境局顺德分局</w:t>
      </w:r>
    </w:p>
    <w:p>
      <w:pPr>
        <w:pStyle w:val="null3"/>
        <w:ind w:firstLine="480"/>
        <w:jc w:val="both"/>
      </w:pPr>
      <w:r>
        <w:rPr>
          <w:sz w:val="21"/>
          <w:b/>
        </w:rPr>
        <w:t>乙  方：</w:t>
      </w:r>
      <w:r>
        <w:rPr>
          <w:sz w:val="21"/>
          <w:u w:val="single"/>
        </w:rPr>
        <w:t xml:space="preserve">（中标/成交供应商）                                  </w:t>
      </w:r>
    </w:p>
    <w:p>
      <w:pPr>
        <w:pStyle w:val="null3"/>
        <w:ind w:firstLine="480"/>
        <w:jc w:val="both"/>
      </w:pPr>
      <w:r>
        <w:rPr>
          <w:sz w:val="21"/>
          <w:b/>
        </w:rPr>
        <w:t>合同性质：</w:t>
      </w:r>
      <w:r>
        <w:rPr>
          <w:sz w:val="21"/>
          <w:u w:val="single"/>
        </w:rPr>
        <w:t xml:space="preserve"> 本采购包整体专门面向小</w:t>
      </w:r>
      <w:r>
        <w:rPr>
          <w:sz w:val="21"/>
          <w:u w:val="single"/>
        </w:rPr>
        <w:t>微</w:t>
      </w:r>
      <w:r>
        <w:rPr>
          <w:sz w:val="21"/>
          <w:u w:val="single"/>
        </w:rPr>
        <w:t xml:space="preserve">企业采购   </w:t>
      </w:r>
    </w:p>
    <w:p>
      <w:pPr>
        <w:pStyle w:val="null3"/>
        <w:ind w:firstLine="480"/>
        <w:jc w:val="both"/>
      </w:pPr>
      <w:r>
        <w:rPr>
          <w:sz w:val="21"/>
        </w:rPr>
        <w:t>根据《中华人民共和国政府采购法》《中华人民共和国民法典》和本项目采购文件的要求，经双方协商，本着平等互利和诚实信用的原则，一致同意签订本合同如下。</w:t>
      </w:r>
    </w:p>
    <w:p>
      <w:pPr>
        <w:pStyle w:val="null3"/>
        <w:ind w:firstLine="480"/>
        <w:jc w:val="both"/>
      </w:pPr>
      <w:r>
        <w:rPr>
          <w:sz w:val="21"/>
          <w:b/>
        </w:rPr>
        <w:t>一、项目主要内容及实现功能目标：</w:t>
      </w:r>
    </w:p>
    <w:p>
      <w:pPr>
        <w:pStyle w:val="null3"/>
        <w:ind w:firstLine="480"/>
      </w:pPr>
      <w:r>
        <w:rPr>
          <w:sz w:val="21"/>
        </w:rPr>
        <w:t>顺德区国、省考断面水质保障自动监测服务，拟对容桂水道、顺德水道提供15个点位的水质数据包括常规五参数（水温、pH值、浊度、电导率、溶解氧）及污染物因子（高锰酸盐指数、氨氮、总磷）自动采集服务、监测信息传输服务、监测数据分析与应用分析服务等。强化容桂水道、顺德水道流域主河道监测能力建设，从而提高水环境质量预警、分析及管理的科学性</w:t>
      </w:r>
      <w:r>
        <w:rPr>
          <w:sz w:val="21"/>
        </w:rPr>
        <w:t>。</w:t>
      </w:r>
    </w:p>
    <w:p>
      <w:pPr>
        <w:pStyle w:val="null3"/>
        <w:ind w:firstLine="480"/>
      </w:pPr>
      <w:r>
        <w:rPr>
          <w:sz w:val="21"/>
          <w:b/>
        </w:rPr>
        <w:t>（一）具体采购内容</w:t>
      </w:r>
    </w:p>
    <w:tbl>
      <w:tblPr>
        <w:tblW w:w="0" w:type="auto"/>
        <w:tblBorders>
          <w:top w:val="none" w:color="000000" w:sz="4"/>
          <w:left w:val="none" w:color="000000" w:sz="4"/>
          <w:bottom w:val="none" w:color="000000" w:sz="4"/>
          <w:right w:val="none" w:color="000000" w:sz="4"/>
          <w:insideH w:val="none"/>
          <w:insideV w:val="none"/>
        </w:tblBorders>
      </w:tblPr>
      <w:tblGrid>
        <w:gridCol w:w="1053"/>
        <w:gridCol w:w="4714"/>
        <w:gridCol w:w="1267"/>
        <w:gridCol w:w="1267"/>
      </w:tblGrid>
      <w:tr>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服务或费用名称</w:t>
            </w:r>
          </w:p>
        </w:tc>
        <w:tc>
          <w:tcPr>
            <w:tcW w:type="dxa" w:w="1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（站）</w:t>
            </w:r>
          </w:p>
        </w:tc>
        <w:tc>
          <w:tcPr>
            <w:tcW w:type="dxa" w:w="1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时间</w:t>
            </w:r>
          </w:p>
          <w:p>
            <w:pPr>
              <w:pStyle w:val="null3"/>
              <w:jc w:val="center"/>
            </w:pPr>
            <w:r>
              <w:rPr>
                <w:sz w:val="21"/>
                <w:b/>
              </w:rPr>
              <w:t>（月）</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数据采集传输及保障服务费用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常规小型水质自动监测站点数据采集传输</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五参数（水温、pH、溶解氧、电导率、浊度）数据采集传输</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氨氮数据采集传输</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总磷数据采集传输</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高锰酸盐指数数据采集传输</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总氮数据采集传输</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数据保障运维服务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日常远程检查</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②</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定期现场巡检</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③</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仪器设备维护保养</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④</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网络系统维护测试</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⑤</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现场数据核对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⑥</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突发或故障事件应急巡查服务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运维监管质控仪</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配套便携设备的使用服务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数据分析应用服务费用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数据分析应用服务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pPr>
      <w:r>
        <w:rPr>
          <w:sz w:val="21"/>
          <w:b/>
        </w:rPr>
        <w:t>（二）监测站点清单</w:t>
      </w:r>
    </w:p>
    <w:p>
      <w:pPr>
        <w:pStyle w:val="null3"/>
        <w:jc w:val="both"/>
      </w:pPr>
      <w:r>
        <w:rPr>
          <w:b/>
        </w:rPr>
        <w:t xml:space="preserve">      </w:t>
      </w:r>
      <w:r>
        <w:rPr>
          <w:sz w:val="21"/>
        </w:rPr>
        <w:t>监测站点为包括15个测点位，具体如下：</w:t>
      </w:r>
    </w:p>
    <w:tbl>
      <w:tblPr>
        <w:tblW w:w="0" w:type="auto"/>
        <w:tblBorders>
          <w:top w:val="none" w:color="000000" w:sz="4"/>
          <w:left w:val="none" w:color="000000" w:sz="4"/>
          <w:bottom w:val="none" w:color="000000" w:sz="4"/>
          <w:right w:val="none" w:color="000000" w:sz="4"/>
          <w:insideH w:val="none"/>
          <w:insideV w:val="none"/>
        </w:tblBorders>
      </w:tblPr>
      <w:tblGrid>
        <w:gridCol w:w="651"/>
        <w:gridCol w:w="990"/>
        <w:gridCol w:w="2501"/>
        <w:gridCol w:w="2080"/>
        <w:gridCol w:w="2080"/>
      </w:tblGrid>
      <w:tr>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类型</w:t>
            </w:r>
          </w:p>
        </w:tc>
        <w:tc>
          <w:tcPr>
            <w:tcW w:type="dxa" w:w="2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所在流域</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监测点名称</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潭州水道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华阳断面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潭州水道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林头断面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大闸断面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黄麻涌断面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甘竹溪</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龙田断面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百丈断面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逢简断面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新涌断面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冲鹤断面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顺德支流</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沙头断面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七滘断面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马宁断面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南沙断面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穗香断面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主河道</w:t>
            </w:r>
          </w:p>
        </w:tc>
        <w:tc>
          <w:tcPr>
            <w:tcW w:type="dxa" w:w="2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容桂水道</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顺风岛断面</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b/>
        </w:rPr>
        <w:t>备注：具体点位根据甲方实际情况进行变更，以实际为准。</w:t>
      </w:r>
    </w:p>
    <w:p>
      <w:pPr>
        <w:pStyle w:val="null3"/>
        <w:ind w:firstLine="480"/>
        <w:jc w:val="both"/>
      </w:pPr>
      <w:r>
        <w:rPr>
          <w:sz w:val="21"/>
          <w:b/>
        </w:rPr>
        <w:t>二、产品及服务供应清单：见附件一《报价清单明细表》。</w:t>
      </w:r>
    </w:p>
    <w:p>
      <w:pPr>
        <w:pStyle w:val="null3"/>
        <w:ind w:firstLine="480"/>
        <w:jc w:val="both"/>
      </w:pPr>
      <w:r>
        <w:rPr>
          <w:sz w:val="21"/>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03"/>
        <w:gridCol w:w="5924"/>
      </w:tblGrid>
      <w:tr>
        <w:tc>
          <w:tcPr>
            <w:tcW w:type="dxa" w:w="678"/>
            <w:tcBorders>
              <w:top w:val="singl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序号</w:t>
            </w:r>
          </w:p>
        </w:tc>
        <w:tc>
          <w:tcPr>
            <w:tcW w:type="dxa" w:w="1703"/>
            <w:tcBorders>
              <w:top w:val="singl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合同条款</w:t>
            </w:r>
          </w:p>
        </w:tc>
        <w:tc>
          <w:tcPr>
            <w:tcW w:type="dxa" w:w="5924"/>
            <w:tcBorders>
              <w:top w:val="singl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ind w:firstLine="380"/>
              <w:jc w:val="both"/>
            </w:pPr>
            <w:r>
              <w:rPr>
                <w:sz w:val="21"/>
                <w:b/>
              </w:rPr>
              <w:t>内容</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1</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合同总额</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rPr>
              <w:t>人民币小写：</w:t>
            </w:r>
            <w:r>
              <w:rPr>
                <w:sz w:val="19"/>
                <w:u w:val="single"/>
              </w:rPr>
              <w:t xml:space="preserve">             </w:t>
            </w:r>
            <w:r>
              <w:rPr>
                <w:sz w:val="21"/>
              </w:rPr>
              <w:t>元；</w:t>
            </w:r>
          </w:p>
          <w:p>
            <w:pPr>
              <w:pStyle w:val="null3"/>
              <w:jc w:val="both"/>
            </w:pPr>
            <w:r>
              <w:rPr>
                <w:sz w:val="21"/>
              </w:rPr>
              <w:t>大写：</w:t>
            </w:r>
            <w:r>
              <w:rPr>
                <w:sz w:val="19"/>
                <w:u w:val="single"/>
              </w:rPr>
              <w:t xml:space="preserve">                          </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2</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合同总额内容</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rPr>
              <w:t>（一）本项目的承包方式为总价包干，</w:t>
            </w:r>
            <w:r>
              <w:rPr>
                <w:sz w:val="21"/>
              </w:rPr>
              <w:t>合同总额</w:t>
            </w:r>
            <w:r>
              <w:rPr>
                <w:sz w:val="21"/>
              </w:rPr>
              <w:t>包括为完成</w:t>
            </w:r>
            <w:r>
              <w:rPr>
                <w:sz w:val="21"/>
              </w:rPr>
              <w:t>本合同</w:t>
            </w:r>
            <w:r>
              <w:rPr>
                <w:sz w:val="21"/>
              </w:rPr>
              <w:t>所需的一切工作的费用，包括但不限于数据应用服务产生的费用，建设其他费用和基本预备费、建设费、设备校准费、人员工资福利、</w:t>
            </w:r>
            <w:r>
              <w:rPr>
                <w:sz w:val="21"/>
              </w:rPr>
              <w:t>乙方</w:t>
            </w:r>
            <w:r>
              <w:rPr>
                <w:sz w:val="21"/>
              </w:rPr>
              <w:t>的值守人员的相关费用以及采水、供水、供电、通讯、采暖、试剂耗材、备品备件、仪器设备维修、设施设备的年检保养和水站安全保障所发生的费用及合同实施过程中的应可预见和不可预见费用等完成合同规定责任和义务、达到合同目的的一切费用，并应包含应由</w:t>
            </w:r>
            <w:r>
              <w:rPr>
                <w:sz w:val="21"/>
              </w:rPr>
              <w:t>乙方</w:t>
            </w:r>
            <w:r>
              <w:rPr>
                <w:sz w:val="21"/>
              </w:rPr>
              <w:t>缴纳的本次招标服务费等在工作中所发生的其他各种因素的相关服务费用、利润、税金及其他税费、人员保险费、全额含税发票、合同实施过程中的应预见和不可预见费用等。</w:t>
            </w:r>
          </w:p>
          <w:p>
            <w:pPr>
              <w:pStyle w:val="null3"/>
              <w:jc w:val="both"/>
            </w:pPr>
            <w:r>
              <w:rPr>
                <w:sz w:val="21"/>
              </w:rPr>
              <w:t>（二）</w:t>
            </w:r>
            <w:r>
              <w:rPr>
                <w:sz w:val="21"/>
              </w:rPr>
              <w:t>乙方已</w:t>
            </w:r>
            <w:r>
              <w:rPr>
                <w:sz w:val="21"/>
              </w:rPr>
              <w:t>考虑本项目在实施期间的一切可能产生的费用。已确保本</w:t>
            </w:r>
            <w:r>
              <w:rPr>
                <w:sz w:val="21"/>
              </w:rPr>
              <w:t>合同</w:t>
            </w:r>
            <w:r>
              <w:rPr>
                <w:sz w:val="21"/>
              </w:rPr>
              <w:t>范围内的各种价格风险均已包含在</w:t>
            </w:r>
            <w:r>
              <w:rPr>
                <w:sz w:val="21"/>
              </w:rPr>
              <w:t>合同价</w:t>
            </w:r>
            <w:r>
              <w:rPr>
                <w:sz w:val="21"/>
              </w:rPr>
              <w:t>内。任何因</w:t>
            </w:r>
            <w:r>
              <w:rPr>
                <w:sz w:val="21"/>
              </w:rPr>
              <w:t>乙方</w:t>
            </w:r>
            <w:r>
              <w:rPr>
                <w:sz w:val="21"/>
              </w:rPr>
              <w:t>的疏漏而提出的不利于</w:t>
            </w:r>
            <w:r>
              <w:rPr>
                <w:sz w:val="21"/>
              </w:rPr>
              <w:t>甲方</w:t>
            </w:r>
            <w:r>
              <w:rPr>
                <w:sz w:val="21"/>
              </w:rPr>
              <w:t>的合同单价调价申请将不被接受。</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3</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项目服务地点</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rPr>
              <w:t>佛山市内（详见“监测站点清单”，具体点位如需根据甲方实际情况进行变更，以实际为准。）。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4</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ind w:firstLine="380"/>
              <w:jc w:val="both"/>
            </w:pPr>
            <w:r>
              <w:rPr>
                <w:sz w:val="21"/>
                <w:b/>
              </w:rPr>
              <w:t>服务期</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19"/>
              </w:rPr>
              <w:t>自合同预付款支付后2个月内完成项目建设（含设备安装、调试、试运行1个月及验收工作），自设备验收审核通过之日起提供数据监测服务10个月。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jc w:val="center"/>
            </w:pPr>
            <w:r>
              <w:rPr>
                <w:sz w:val="21"/>
                <w:b/>
                <w:color w:val="000000"/>
              </w:rPr>
              <w:t>5</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center"/>
            </w:pPr>
            <w:r>
              <w:rPr>
                <w:sz w:val="21"/>
                <w:b/>
                <w:color w:val="000000"/>
              </w:rPr>
              <w:t>进度要求</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19"/>
              </w:rPr>
              <w:t>第一阶段（施工建设期）：现场勘察、安装设计、设备安装、调试、试运行，周期为2个月： 第1个月工作： 1.现场勘察、安装设计、设备安装、调试。 2.乙方设备和系统的安装、调试工作完成并接入顺德区生态环境综合管理平台。 第2个月工作： 1.设备的试运行，初步获取相关数据。 2.项目的阶段性验收。</w:t>
            </w:r>
          </w:p>
          <w:p>
            <w:pPr>
              <w:pStyle w:val="null3"/>
              <w:jc w:val="both"/>
            </w:pPr>
            <w:r>
              <w:rPr>
                <w:sz w:val="19"/>
              </w:rPr>
              <w:t>第二阶段（服务期）：正式提供数据监测服务，自项目通过阶段性验收合格之日起10个月。 备注：项目施工建设时间不计入项目服务期，具体的设备安装问题可与甲方协调。</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6</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合同签订方式及情况</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rPr>
              <w:t>一次性签订本项目采购合同。</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7</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ind w:firstLine="380"/>
              <w:jc w:val="both"/>
            </w:pPr>
            <w:r>
              <w:rPr>
                <w:sz w:val="21"/>
                <w:b/>
              </w:rPr>
              <w:t>付款方式</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rPr>
              <w:t>（一）合同签订生效，</w:t>
            </w:r>
            <w:r>
              <w:rPr>
                <w:sz w:val="21"/>
              </w:rPr>
              <w:t>甲方</w:t>
            </w:r>
            <w:r>
              <w:rPr>
                <w:sz w:val="21"/>
              </w:rPr>
              <w:t>在财政资金下达且收到</w:t>
            </w:r>
            <w:r>
              <w:rPr>
                <w:sz w:val="21"/>
              </w:rPr>
              <w:t>乙方</w:t>
            </w:r>
            <w:r>
              <w:rPr>
                <w:sz w:val="21"/>
              </w:rPr>
              <w:t>提供的正式发票后10个工作日内向</w:t>
            </w:r>
            <w:r>
              <w:rPr>
                <w:sz w:val="21"/>
              </w:rPr>
              <w:t>乙方</w:t>
            </w:r>
            <w:r>
              <w:rPr>
                <w:sz w:val="21"/>
              </w:rPr>
              <w:t>支付合同金额的40%作为预付款。</w:t>
            </w:r>
          </w:p>
          <w:p>
            <w:pPr>
              <w:pStyle w:val="null3"/>
              <w:jc w:val="both"/>
            </w:pPr>
            <w:r>
              <w:rPr>
                <w:sz w:val="21"/>
              </w:rPr>
              <w:t>（二）第二个服务周期后，</w:t>
            </w:r>
            <w:r>
              <w:rPr>
                <w:sz w:val="21"/>
              </w:rPr>
              <w:t>甲方</w:t>
            </w:r>
            <w:r>
              <w:rPr>
                <w:sz w:val="21"/>
              </w:rPr>
              <w:t>在财政资金下达后且收到</w:t>
            </w:r>
            <w:r>
              <w:rPr>
                <w:sz w:val="21"/>
              </w:rPr>
              <w:t>乙方</w:t>
            </w:r>
            <w:r>
              <w:rPr>
                <w:sz w:val="21"/>
              </w:rPr>
              <w:t>提供的正式发票后10个工作日内向</w:t>
            </w:r>
            <w:r>
              <w:rPr>
                <w:sz w:val="21"/>
              </w:rPr>
              <w:t>乙方</w:t>
            </w:r>
            <w:r>
              <w:rPr>
                <w:sz w:val="21"/>
              </w:rPr>
              <w:t>支付合同总额的20%，本期最终支付金额=合同总额的20%-扣罚（如有）金额合计。</w:t>
            </w:r>
          </w:p>
          <w:p>
            <w:pPr>
              <w:pStyle w:val="null3"/>
              <w:jc w:val="both"/>
            </w:pPr>
            <w:r>
              <w:rPr>
                <w:sz w:val="21"/>
              </w:rPr>
              <w:t>（三）服务期结束，项目通过整体验收后，</w:t>
            </w:r>
            <w:r>
              <w:rPr>
                <w:sz w:val="21"/>
              </w:rPr>
              <w:t>甲方</w:t>
            </w:r>
            <w:r>
              <w:rPr>
                <w:sz w:val="21"/>
              </w:rPr>
              <w:t>在收到</w:t>
            </w:r>
            <w:r>
              <w:rPr>
                <w:sz w:val="21"/>
              </w:rPr>
              <w:t>乙方</w:t>
            </w:r>
            <w:r>
              <w:rPr>
                <w:sz w:val="21"/>
              </w:rPr>
              <w:t>提供的正式发票后10个工作日内向</w:t>
            </w:r>
            <w:r>
              <w:rPr>
                <w:sz w:val="21"/>
              </w:rPr>
              <w:t>乙方</w:t>
            </w:r>
            <w:r>
              <w:rPr>
                <w:sz w:val="21"/>
              </w:rPr>
              <w:t>支付合同总额的40%，本期最终支付金额=合同总额的40%-扣罚（如有）金额。</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ind w:firstLine="241"/>
              <w:jc w:val="both"/>
            </w:pPr>
            <w:r>
              <w:rPr>
                <w:sz w:val="21"/>
                <w:b/>
              </w:rPr>
              <w:t>8</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ind w:firstLine="380"/>
              <w:jc w:val="both"/>
            </w:pPr>
            <w:r>
              <w:rPr>
                <w:sz w:val="21"/>
                <w:b/>
              </w:rPr>
              <w:t>付款要求</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left"/>
            </w:pPr>
            <w:r>
              <w:rPr>
                <w:sz w:val="21"/>
              </w:rPr>
              <w:t>（一）合同款项的支付方式：转账结算（银行转账）。</w:t>
            </w:r>
          </w:p>
          <w:p>
            <w:pPr>
              <w:pStyle w:val="null3"/>
              <w:jc w:val="left"/>
            </w:pPr>
            <w:r>
              <w:rPr>
                <w:sz w:val="21"/>
              </w:rPr>
              <w:t>（二）付款方：甲方；收款方：乙方。（三）开具发票：乙方收款时必须持有效发票。收款方、出具发票方、合同乙方均必须与</w:t>
            </w:r>
            <w:r>
              <w:rPr>
                <w:sz w:val="21"/>
              </w:rPr>
              <w:t>乙方</w:t>
            </w:r>
            <w:r>
              <w:rPr>
                <w:sz w:val="21"/>
              </w:rPr>
              <w:t>名称一致。（四）因甲方使用的是财政资金，甲方在前款规定的付款时间为向政府采购支付部门提出办理财政支付申请手续的时间（不含政府财政支付部门审核的时间），在规定时间内提出支付申请手续后即视为甲方已经按期支付。（五）付款期间如因特殊情况需调整，由双方协商处理。</w:t>
            </w:r>
          </w:p>
        </w:tc>
      </w:tr>
      <w:tr>
        <w:tc>
          <w:tcPr>
            <w:tcW w:type="dxa" w:w="678"/>
            <w:tcBorders>
              <w:top w:val="none" w:color="000000" w:sz="4"/>
              <w:left w:val="single" w:color="000000" w:sz="4"/>
              <w:bottom w:val="single" w:color="000000" w:sz="4"/>
              <w:right w:val="single" w:color="000000" w:sz="4"/>
            </w:tcBorders>
            <w:tcMar>
              <w:top w:type="dxa" w:w="0"/>
              <w:left w:type="dxa" w:w="105"/>
              <w:bottom w:type="dxa" w:w="105"/>
              <w:right w:type="dxa" w:w="0"/>
            </w:tcMar>
            <w:vAlign w:val="top"/>
          </w:tcPr>
          <w:p>
            <w:pPr>
              <w:pStyle w:val="null3"/>
              <w:ind w:firstLine="241"/>
              <w:jc w:val="both"/>
            </w:pPr>
            <w:r>
              <w:rPr>
                <w:sz w:val="21"/>
                <w:b/>
              </w:rPr>
              <w:t>9</w:t>
            </w:r>
          </w:p>
        </w:tc>
        <w:tc>
          <w:tcPr>
            <w:tcW w:type="dxa" w:w="1703"/>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b/>
              </w:rPr>
              <w:t>其他</w:t>
            </w:r>
          </w:p>
        </w:tc>
        <w:tc>
          <w:tcPr>
            <w:tcW w:type="dxa" w:w="5924"/>
            <w:tcBorders>
              <w:top w:val="none" w:color="000000" w:sz="4"/>
              <w:left w:val="none" w:color="000000" w:sz="4"/>
              <w:bottom w:val="single" w:color="000000" w:sz="4"/>
              <w:right w:val="single" w:color="000000" w:sz="4"/>
            </w:tcBorders>
            <w:tcMar>
              <w:top w:type="dxa" w:w="0"/>
              <w:left w:type="dxa" w:w="105"/>
              <w:bottom w:type="dxa" w:w="105"/>
              <w:right w:type="dxa" w:w="0"/>
            </w:tcMar>
            <w:vAlign w:val="top"/>
          </w:tcPr>
          <w:p>
            <w:pPr>
              <w:pStyle w:val="null3"/>
              <w:jc w:val="both"/>
            </w:pPr>
            <w:r>
              <w:rPr>
                <w:sz w:val="21"/>
              </w:rPr>
              <w:t>（一）服务期结束后，所有监测数据及分析数据归甲方所有，所有监测设备等归乙方所有。</w:t>
            </w:r>
          </w:p>
          <w:p>
            <w:pPr>
              <w:pStyle w:val="null3"/>
              <w:jc w:val="both"/>
            </w:pPr>
            <w:r>
              <w:rPr>
                <w:sz w:val="21"/>
              </w:rPr>
              <w:t>（二）乙方必须制定详细可行的项目管理、实施方案，比如项目计划、例会管理机制、运营维护机制等，来确保项目可控以及产物符合用户要求。</w:t>
            </w:r>
          </w:p>
          <w:p>
            <w:pPr>
              <w:pStyle w:val="null3"/>
              <w:jc w:val="both"/>
            </w:pPr>
            <w:r>
              <w:rPr>
                <w:sz w:val="21"/>
              </w:rPr>
              <w:t>（三）乙方在项目中提交的所有技术文件必须用简体中文书写。</w:t>
            </w:r>
          </w:p>
          <w:p>
            <w:pPr>
              <w:pStyle w:val="null3"/>
              <w:jc w:val="both"/>
            </w:pPr>
            <w:r>
              <w:rPr>
                <w:sz w:val="21"/>
              </w:rPr>
              <w:t>（四）服务期内接到甲方通知后，乙方须一小时内能到达现场。</w:t>
            </w:r>
          </w:p>
          <w:p>
            <w:pPr>
              <w:pStyle w:val="null3"/>
              <w:jc w:val="both"/>
            </w:pPr>
            <w:r>
              <w:rPr>
                <w:sz w:val="21"/>
              </w:rPr>
              <w:t>（五）</w:t>
            </w:r>
            <w:r>
              <w:rPr>
                <w:sz w:val="21"/>
              </w:rPr>
              <w:t>合同待</w:t>
            </w:r>
            <w:r>
              <w:rPr>
                <w:sz w:val="21"/>
              </w:rPr>
              <w:t>预付</w:t>
            </w:r>
            <w:r>
              <w:rPr>
                <w:sz w:val="21"/>
              </w:rPr>
              <w:t>款支付后开始正式实施，</w:t>
            </w:r>
            <w:r>
              <w:rPr>
                <w:sz w:val="21"/>
              </w:rPr>
              <w:t>合同履行期间，如甲方遇有上级政策调整、财政压减等问题，双方可再协商本项目的服务内容或服务期等，不视为违约。</w:t>
            </w:r>
          </w:p>
        </w:tc>
      </w:tr>
    </w:tbl>
    <w:p>
      <w:pPr>
        <w:pStyle w:val="null3"/>
        <w:ind w:firstLine="480"/>
        <w:jc w:val="both"/>
      </w:pPr>
      <w:r>
        <w:rPr/>
        <w:t xml:space="preserve"> </w:t>
      </w:r>
    </w:p>
    <w:p>
      <w:pPr>
        <w:pStyle w:val="null3"/>
        <w:ind w:firstLine="480"/>
        <w:jc w:val="both"/>
      </w:pPr>
      <w:r>
        <w:rPr>
          <w:sz w:val="21"/>
          <w:b/>
        </w:rPr>
        <w:t>四、技术及服务要求</w:t>
      </w:r>
    </w:p>
    <w:p>
      <w:pPr>
        <w:pStyle w:val="null3"/>
        <w:ind w:firstLine="480"/>
        <w:jc w:val="both"/>
      </w:pPr>
      <w:r>
        <w:rPr>
          <w:sz w:val="21"/>
          <w:b/>
        </w:rPr>
        <w:t>（一）常规小型水质自动监测设备技术要求</w:t>
      </w:r>
    </w:p>
    <w:p>
      <w:pPr>
        <w:pStyle w:val="null3"/>
        <w:jc w:val="both"/>
      </w:pPr>
      <w:r>
        <w:rPr>
          <w:sz w:val="21"/>
        </w:rPr>
        <w:t>1.总体功能要求</w:t>
      </w:r>
    </w:p>
    <w:p>
      <w:pPr>
        <w:pStyle w:val="null3"/>
        <w:jc w:val="both"/>
      </w:pPr>
      <w:r>
        <w:rPr>
          <w:sz w:val="21"/>
        </w:rPr>
        <w:t>（</w:t>
      </w:r>
      <w:r>
        <w:rPr>
          <w:sz w:val="21"/>
        </w:rPr>
        <w:t>1</w:t>
      </w:r>
      <w:r>
        <w:rPr>
          <w:sz w:val="21"/>
        </w:rPr>
        <w:t>）</w:t>
      </w:r>
      <w:r>
        <w:rPr>
          <w:sz w:val="21"/>
        </w:rPr>
        <w:t>采用户外一体化小型水质自动监测站设计，系统由模块化的单元组成；</w:t>
      </w:r>
    </w:p>
    <w:p>
      <w:pPr>
        <w:pStyle w:val="null3"/>
        <w:jc w:val="both"/>
      </w:pPr>
      <w:r>
        <w:rPr>
          <w:sz w:val="21"/>
        </w:rPr>
        <w:t>（</w:t>
      </w:r>
      <w:r>
        <w:rPr>
          <w:sz w:val="21"/>
        </w:rPr>
        <w:t>2</w:t>
      </w:r>
      <w:r>
        <w:rPr>
          <w:sz w:val="21"/>
        </w:rPr>
        <w:t>）</w:t>
      </w:r>
      <w:r>
        <w:rPr>
          <w:sz w:val="21"/>
        </w:rPr>
        <w:t>能连续在线反映被测河流断面的水质变化情况，准确及时捕捉污染物事故排放并发出预警信号，测点布置符合规范要求，采样方式恰当；</w:t>
      </w:r>
    </w:p>
    <w:p>
      <w:pPr>
        <w:pStyle w:val="null3"/>
        <w:jc w:val="both"/>
      </w:pPr>
      <w:r>
        <w:rPr>
          <w:sz w:val="21"/>
        </w:rPr>
        <w:t>（</w:t>
      </w:r>
      <w:r>
        <w:rPr>
          <w:sz w:val="21"/>
        </w:rPr>
        <w:t>3</w:t>
      </w:r>
      <w:r>
        <w:rPr>
          <w:sz w:val="21"/>
        </w:rPr>
        <w:t>）</w:t>
      </w:r>
      <w:r>
        <w:rPr>
          <w:sz w:val="21"/>
        </w:rPr>
        <w:t>系统要求具有大型的水站的监测能力且使用占地面积不超过2.0平方米；</w:t>
      </w:r>
    </w:p>
    <w:p>
      <w:pPr>
        <w:pStyle w:val="null3"/>
        <w:jc w:val="both"/>
      </w:pPr>
      <w:r>
        <w:rPr>
          <w:sz w:val="21"/>
        </w:rPr>
        <w:t>（</w:t>
      </w:r>
      <w:r>
        <w:rPr>
          <w:sz w:val="21"/>
        </w:rPr>
        <w:t>4</w:t>
      </w:r>
      <w:r>
        <w:rPr>
          <w:sz w:val="21"/>
        </w:rPr>
        <w:t>）</w:t>
      </w:r>
      <w:r>
        <w:rPr>
          <w:sz w:val="21"/>
        </w:rPr>
        <w:t>仪器设备分类安装，布置合理美观，管线布置通畅合理，管材选择确保系统能长期有效运行；</w:t>
      </w:r>
    </w:p>
    <w:p>
      <w:pPr>
        <w:pStyle w:val="null3"/>
        <w:jc w:val="both"/>
      </w:pPr>
      <w:r>
        <w:rPr>
          <w:sz w:val="21"/>
        </w:rPr>
        <w:t>(5)</w:t>
      </w:r>
      <w:r>
        <w:rPr>
          <w:sz w:val="21"/>
        </w:rPr>
        <w:t>产品</w:t>
      </w:r>
      <w:r>
        <w:rPr>
          <w:sz w:val="21"/>
        </w:rPr>
        <w:t>应</w:t>
      </w:r>
      <w:r>
        <w:rPr>
          <w:sz w:val="21"/>
        </w:rPr>
        <w:t>为原厂制造、符合国家及</w:t>
      </w:r>
      <w:r>
        <w:rPr>
          <w:sz w:val="21"/>
        </w:rPr>
        <w:t>甲方</w:t>
      </w:r>
      <w:r>
        <w:rPr>
          <w:sz w:val="21"/>
        </w:rPr>
        <w:t>提出的有关质量标准的仪器和设备</w:t>
      </w:r>
      <w:r>
        <w:rPr>
          <w:sz w:val="21"/>
        </w:rPr>
        <w:t>；提供的设备、软件应具有合法的知识产权。监测站采用坚固的防腐外壳，耐腐蚀、抗老化，防护等级要求达到IP55或以上，可整体移动；监测站点位基本固定，但能在需要时可整体搬动和搬迁的箱体式监测方式，如有需要，</w:t>
      </w:r>
      <w:r>
        <w:rPr>
          <w:sz w:val="21"/>
        </w:rPr>
        <w:t>乙方</w:t>
      </w:r>
      <w:r>
        <w:rPr>
          <w:sz w:val="21"/>
        </w:rPr>
        <w:t>需按照</w:t>
      </w:r>
      <w:r>
        <w:rPr>
          <w:sz w:val="21"/>
        </w:rPr>
        <w:t>甲方</w:t>
      </w:r>
      <w:r>
        <w:rPr>
          <w:sz w:val="21"/>
        </w:rPr>
        <w:t>布点要求进行位置调整；</w:t>
      </w:r>
    </w:p>
    <w:p>
      <w:pPr>
        <w:pStyle w:val="null3"/>
        <w:jc w:val="both"/>
      </w:pPr>
      <w:r>
        <w:rPr>
          <w:sz w:val="21"/>
        </w:rPr>
        <w:t>（</w:t>
      </w:r>
      <w:r>
        <w:rPr>
          <w:sz w:val="21"/>
        </w:rPr>
        <w:t>6</w:t>
      </w:r>
      <w:r>
        <w:rPr>
          <w:sz w:val="21"/>
        </w:rPr>
        <w:t>）</w:t>
      </w:r>
      <w:r>
        <w:rPr>
          <w:sz w:val="21"/>
        </w:rPr>
        <w:t>监测站采集自动分析仪器的监测数据，并分类保存；采集自动分析仪器和集成系统各单元的工作状态量，并可以运行日志的形式记录保存；实时采集视频信息并传输至中心平台；断电时能自动保存历史数据和参数设置；</w:t>
      </w:r>
    </w:p>
    <w:p>
      <w:pPr>
        <w:pStyle w:val="null3"/>
        <w:jc w:val="both"/>
      </w:pPr>
      <w:r>
        <w:rPr>
          <w:sz w:val="21"/>
        </w:rPr>
        <w:t>（</w:t>
      </w:r>
      <w:r>
        <w:rPr>
          <w:sz w:val="21"/>
        </w:rPr>
        <w:t>7</w:t>
      </w:r>
      <w:r>
        <w:rPr>
          <w:sz w:val="21"/>
        </w:rPr>
        <w:t>）</w:t>
      </w:r>
      <w:r>
        <w:rPr>
          <w:sz w:val="21"/>
        </w:rPr>
        <w:t>监测站能准确的上传下达指令，确保仪器、系统运行的监测数据和状态信息等稳定传输；具有仪器关键参数上传、远程设置功能，能接受远程控制指令；具有分析仪器及系统过程日志记录和环境参数记录功能，并能够上传至中心平台；</w:t>
      </w:r>
    </w:p>
    <w:p>
      <w:pPr>
        <w:pStyle w:val="null3"/>
        <w:jc w:val="both"/>
      </w:pPr>
      <w:r>
        <w:rPr>
          <w:sz w:val="21"/>
        </w:rPr>
        <w:t>(8)监测站采用无线通</w:t>
      </w:r>
      <w:r>
        <w:rPr>
          <w:sz w:val="21"/>
        </w:rPr>
        <w:t>信</w:t>
      </w:r>
      <w:r>
        <w:rPr>
          <w:sz w:val="21"/>
        </w:rPr>
        <w:t>，支持4G/5G网络；采用虚拟专用网络（VPN）数据传输方式；具备对通信链路的自动诊断功能，具备超时补发功能；支持国家地表水自动监测系统通信协议，具有同时连接多个平台的能力，实现数据、告警信息的上传及反控操作；</w:t>
      </w:r>
    </w:p>
    <w:p>
      <w:pPr>
        <w:pStyle w:val="null3"/>
        <w:jc w:val="both"/>
      </w:pPr>
      <w:r>
        <w:rPr>
          <w:sz w:val="21"/>
        </w:rPr>
        <w:t>(9)监测站具有留样功能，能保留最近一个以上水样；监测站具有废药液收集装置，能满足两周以上废液量的收集，废药液应合法处理处置；</w:t>
      </w:r>
    </w:p>
    <w:p>
      <w:pPr>
        <w:pStyle w:val="null3"/>
        <w:jc w:val="both"/>
      </w:pPr>
      <w:r>
        <w:rPr>
          <w:sz w:val="21"/>
        </w:rPr>
        <w:t>（</w:t>
      </w:r>
      <w:r>
        <w:rPr>
          <w:sz w:val="21"/>
        </w:rPr>
        <w:t>10</w:t>
      </w:r>
      <w:r>
        <w:rPr>
          <w:sz w:val="21"/>
        </w:rPr>
        <w:t>）</w:t>
      </w:r>
      <w:r>
        <w:rPr>
          <w:sz w:val="21"/>
        </w:rPr>
        <w:t>监测站具有视频监控功能，可实时远程监控功能，可实现全方位、多视角、全天候式监控；当出现非法闯入时，报警系统能唤醒摄像机进行视频录制并获取监控区域内清晰的监控图像；视频监控前端存储，至少满足1个月的存储能力；视频监控设备要求：最低分辨率为1280×960，可输出实时图像；高效红外灯，照射距离不少于20米；具有手机远程监控功能；具有移动侦测、动态分析、越界侦测和区域入侵侦测报警等功能。</w:t>
      </w:r>
    </w:p>
    <w:p>
      <w:pPr>
        <w:pStyle w:val="null3"/>
        <w:jc w:val="both"/>
      </w:pPr>
      <w:r>
        <w:rPr>
          <w:sz w:val="21"/>
        </w:rPr>
        <w:t>(11)远程控制</w:t>
      </w:r>
    </w:p>
    <w:p>
      <w:pPr>
        <w:pStyle w:val="null3"/>
        <w:jc w:val="both"/>
      </w:pPr>
      <w:r>
        <w:rPr>
          <w:sz w:val="21"/>
        </w:rPr>
        <w:t>①</w:t>
      </w:r>
      <w:r>
        <w:rPr/>
        <w:t xml:space="preserve">   </w:t>
      </w:r>
      <w:r>
        <w:rPr>
          <w:sz w:val="21"/>
        </w:rPr>
        <w:t>通过远程控制，可对监测仪器进行校时、复位、水样/标样测试、校准、清洗、24小时</w:t>
      </w:r>
      <w:r>
        <w:rPr>
          <w:sz w:val="21"/>
        </w:rPr>
        <w:t>低浓度</w:t>
      </w:r>
      <w:r>
        <w:rPr>
          <w:sz w:val="21"/>
        </w:rPr>
        <w:t>漂移和</w:t>
      </w:r>
      <w:r>
        <w:rPr>
          <w:sz w:val="21"/>
        </w:rPr>
        <w:t>高浓度</w:t>
      </w:r>
      <w:r>
        <w:rPr>
          <w:sz w:val="21"/>
        </w:rPr>
        <w:t>漂移核查、标样核查、样品复测和留样等维护工作；</w:t>
      </w:r>
    </w:p>
    <w:p>
      <w:pPr>
        <w:pStyle w:val="null3"/>
        <w:jc w:val="both"/>
      </w:pPr>
      <w:r>
        <w:rPr>
          <w:sz w:val="21"/>
        </w:rPr>
        <w:t>②　远程对水站的整体工作情况进行监控，获取仪器设备关键参数，可根据其运行状态进行相应远程调试；</w:t>
      </w:r>
    </w:p>
    <w:p>
      <w:pPr>
        <w:pStyle w:val="null3"/>
        <w:jc w:val="both"/>
      </w:pPr>
      <w:r>
        <w:rPr>
          <w:sz w:val="21"/>
        </w:rPr>
        <w:t>③　当监测数据出现异常时，</w:t>
      </w:r>
      <w:r>
        <w:rPr>
          <w:sz w:val="21"/>
        </w:rPr>
        <w:t>乙方</w:t>
      </w:r>
      <w:r>
        <w:rPr>
          <w:sz w:val="21"/>
        </w:rPr>
        <w:t>的运维人员远程发送必要的质控测试命令，根据测试结果综合判断数据有效性。一旦确定水质发生重大变化或仪器设备故障，应及时赴现场处理。</w:t>
      </w:r>
    </w:p>
    <w:p>
      <w:pPr>
        <w:pStyle w:val="null3"/>
        <w:jc w:val="both"/>
      </w:pPr>
      <w:r>
        <w:rPr>
          <w:sz w:val="21"/>
        </w:rPr>
        <w:t>2.小型水质自动监测设备技术要求</w:t>
      </w:r>
    </w:p>
    <w:p>
      <w:pPr>
        <w:pStyle w:val="null3"/>
        <w:jc w:val="both"/>
      </w:pPr>
      <w:r>
        <w:rPr>
          <w:sz w:val="21"/>
        </w:rPr>
        <w:t>（</w:t>
      </w:r>
      <w:r>
        <w:rPr>
          <w:sz w:val="21"/>
        </w:rPr>
        <w:t>1</w:t>
      </w:r>
      <w:r>
        <w:rPr>
          <w:sz w:val="21"/>
        </w:rPr>
        <w:t>）</w:t>
      </w:r>
      <w:r>
        <w:rPr>
          <w:sz w:val="21"/>
        </w:rPr>
        <w:t>水质自动分析仪器</w:t>
      </w:r>
      <w:r>
        <w:rPr>
          <w:sz w:val="21"/>
        </w:rPr>
        <w:t>的</w:t>
      </w:r>
      <w:r>
        <w:rPr>
          <w:sz w:val="21"/>
        </w:rPr>
        <w:t>基本功能</w:t>
      </w:r>
    </w:p>
    <w:p>
      <w:pPr>
        <w:pStyle w:val="null3"/>
        <w:jc w:val="both"/>
      </w:pPr>
      <w:r>
        <w:rPr>
          <w:sz w:val="21"/>
        </w:rPr>
        <w:t>1)</w:t>
      </w:r>
      <w:r>
        <w:rPr>
          <w:sz w:val="21"/>
          <w:b/>
        </w:rPr>
        <w:t>能够实现对高锰酸盐指数、氨氮、总磷</w:t>
      </w:r>
      <w:r>
        <w:rPr>
          <w:sz w:val="21"/>
          <w:b/>
        </w:rPr>
        <w:t>、</w:t>
      </w:r>
      <w:r>
        <w:rPr>
          <w:sz w:val="21"/>
          <w:b/>
        </w:rPr>
        <w:t>总氮</w:t>
      </w:r>
      <w:r>
        <w:rPr>
          <w:sz w:val="21"/>
          <w:b/>
        </w:rPr>
        <w:t>水质自动分析仪器进行远程手动及自动标样核查、零点校准、跨度核查、加标回收等功能</w:t>
      </w:r>
      <w:r>
        <w:rPr>
          <w:sz w:val="21"/>
        </w:rPr>
        <w:t>；</w:t>
      </w:r>
    </w:p>
    <w:p>
      <w:pPr>
        <w:pStyle w:val="null3"/>
        <w:jc w:val="both"/>
      </w:pPr>
      <w:r>
        <w:rPr>
          <w:sz w:val="21"/>
        </w:rPr>
        <w:t>2</w:t>
      </w:r>
      <w:r>
        <w:rPr>
          <w:sz w:val="21"/>
        </w:rPr>
        <w:t>）</w:t>
      </w:r>
      <w:r>
        <w:rPr>
          <w:sz w:val="21"/>
        </w:rPr>
        <w:t>具有仪器及系统运行周期（连续或间歇）设置功能，具备常规、应急、质控等多种运行模式；</w:t>
      </w:r>
    </w:p>
    <w:p>
      <w:pPr>
        <w:pStyle w:val="null3"/>
        <w:jc w:val="both"/>
      </w:pPr>
      <w:r>
        <w:rPr>
          <w:sz w:val="21"/>
        </w:rPr>
        <w:t>3</w:t>
      </w:r>
      <w:r>
        <w:rPr>
          <w:sz w:val="21"/>
        </w:rPr>
        <w:t>）</w:t>
      </w:r>
      <w:r>
        <w:rPr>
          <w:sz w:val="21"/>
        </w:rPr>
        <w:t>具备断电后至少能保证仪器完成一个测量周期和数据上传功能，且待机不少于1小时；</w:t>
      </w:r>
    </w:p>
    <w:p>
      <w:pPr>
        <w:pStyle w:val="null3"/>
        <w:jc w:val="both"/>
      </w:pPr>
      <w:r>
        <w:rPr>
          <w:sz w:val="21"/>
        </w:rPr>
        <w:t>4</w:t>
      </w:r>
      <w:r>
        <w:rPr>
          <w:sz w:val="21"/>
        </w:rPr>
        <w:t>）</w:t>
      </w:r>
      <w:r>
        <w:rPr>
          <w:sz w:val="21"/>
        </w:rPr>
        <w:t>具备断电再度通电后自动排空水样和试剂、自动清洗管路、自动复位到待机状态的功能；</w:t>
      </w:r>
    </w:p>
    <w:p>
      <w:pPr>
        <w:pStyle w:val="null3"/>
        <w:jc w:val="both"/>
      </w:pPr>
      <w:r>
        <w:rPr>
          <w:sz w:val="21"/>
        </w:rPr>
        <w:t>5</w:t>
      </w:r>
      <w:r>
        <w:rPr>
          <w:sz w:val="21"/>
        </w:rPr>
        <w:t>）</w:t>
      </w:r>
      <w:r>
        <w:rPr>
          <w:sz w:val="21"/>
        </w:rPr>
        <w:t>能够存储不少于1年的原始数据和运行日志；</w:t>
      </w:r>
    </w:p>
    <w:p>
      <w:pPr>
        <w:pStyle w:val="null3"/>
        <w:jc w:val="both"/>
      </w:pPr>
      <w:r>
        <w:rPr>
          <w:sz w:val="21"/>
        </w:rPr>
        <w:t>6</w:t>
      </w:r>
      <w:r>
        <w:rPr>
          <w:sz w:val="21"/>
        </w:rPr>
        <w:t>）</w:t>
      </w:r>
      <w:r>
        <w:rPr>
          <w:sz w:val="21"/>
        </w:rPr>
        <w:t>具有异常信息记录、上传功能如采水故障、部件故障、超量程报警、超标报警、缺试剂报警等信息；</w:t>
      </w:r>
    </w:p>
    <w:p>
      <w:pPr>
        <w:pStyle w:val="null3"/>
        <w:jc w:val="both"/>
      </w:pPr>
      <w:r>
        <w:rPr>
          <w:sz w:val="21"/>
        </w:rPr>
        <w:t>7</w:t>
      </w:r>
      <w:r>
        <w:rPr>
          <w:sz w:val="21"/>
        </w:rPr>
        <w:t>）</w:t>
      </w:r>
      <w:r>
        <w:rPr>
          <w:sz w:val="21"/>
        </w:rPr>
        <w:t>具有仪器状态</w:t>
      </w:r>
      <w:r>
        <w:rPr>
          <w:sz w:val="21"/>
        </w:rPr>
        <w:t>（</w:t>
      </w:r>
      <w:r>
        <w:rPr>
          <w:sz w:val="21"/>
        </w:rPr>
        <w:t>如测量、空闲、故障等</w:t>
      </w:r>
      <w:r>
        <w:rPr>
          <w:sz w:val="21"/>
        </w:rPr>
        <w:t>）</w:t>
      </w:r>
      <w:r>
        <w:rPr>
          <w:sz w:val="21"/>
        </w:rPr>
        <w:t>显示；</w:t>
      </w:r>
    </w:p>
    <w:p>
      <w:pPr>
        <w:pStyle w:val="null3"/>
        <w:jc w:val="both"/>
      </w:pPr>
      <w:r>
        <w:rPr>
          <w:sz w:val="21"/>
        </w:rPr>
        <w:t>8</w:t>
      </w:r>
      <w:r>
        <w:rPr>
          <w:sz w:val="21"/>
        </w:rPr>
        <w:t>）</w:t>
      </w:r>
      <w:r>
        <w:rPr>
          <w:sz w:val="21"/>
        </w:rPr>
        <w:t>采用分光光度法分析项目具备独立的光路补偿以降低水质</w:t>
      </w:r>
      <w:r>
        <w:rPr/>
        <w:t xml:space="preserve"> </w:t>
      </w:r>
      <w:r>
        <w:rPr>
          <w:sz w:val="21"/>
        </w:rPr>
        <w:t>浊度干扰；</w:t>
      </w:r>
    </w:p>
    <w:p>
      <w:pPr>
        <w:pStyle w:val="null3"/>
        <w:jc w:val="both"/>
      </w:pPr>
      <w:r>
        <w:rPr>
          <w:sz w:val="21"/>
        </w:rPr>
        <w:t>9</w:t>
      </w:r>
      <w:r>
        <w:rPr>
          <w:sz w:val="21"/>
        </w:rPr>
        <w:t>）</w:t>
      </w:r>
      <w:r>
        <w:rPr>
          <w:sz w:val="21"/>
        </w:rPr>
        <w:t>具备1小时1次的应急监测能力。</w:t>
      </w:r>
    </w:p>
    <w:p>
      <w:pPr>
        <w:pStyle w:val="null3"/>
        <w:jc w:val="left"/>
      </w:pPr>
      <w:r>
        <w:rPr>
          <w:sz w:val="21"/>
          <w:b/>
        </w:rPr>
        <w:t>（2）水温水质自动分析仪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626"/>
        <w:gridCol w:w="4680"/>
      </w:tblGrid>
      <w:tr>
        <w:tc>
          <w:tcPr>
            <w:tcW w:type="dxa" w:w="3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热电阻或热电偶</w:t>
            </w:r>
          </w:p>
        </w:tc>
      </w:tr>
      <w:tr>
        <w:tc>
          <w:tcPr>
            <w:tcW w:type="dxa" w:w="3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0℃～60℃，可调</w:t>
            </w:r>
          </w:p>
        </w:tc>
      </w:tr>
      <w:tr>
        <w:tc>
          <w:tcPr>
            <w:tcW w:type="dxa" w:w="3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5</w:t>
            </w:r>
            <w:r>
              <w:rPr>
                <w:sz w:val="21"/>
              </w:rPr>
              <w:t>℃</w:t>
            </w:r>
          </w:p>
        </w:tc>
      </w:tr>
      <w:tr>
        <w:tc>
          <w:tcPr>
            <w:tcW w:type="dxa" w:w="3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3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5</w:t>
            </w:r>
            <w:r>
              <w:rPr>
                <w:sz w:val="21"/>
              </w:rPr>
              <w:t>℃</w:t>
            </w:r>
          </w:p>
        </w:tc>
      </w:tr>
      <w:tr>
        <w:tc>
          <w:tcPr>
            <w:tcW w:type="dxa" w:w="3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r>
      <w:tr>
        <w:tc>
          <w:tcPr>
            <w:tcW w:type="dxa" w:w="3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≥720h/次</w:t>
            </w:r>
          </w:p>
        </w:tc>
      </w:tr>
    </w:tbl>
    <w:p>
      <w:pPr>
        <w:pStyle w:val="null3"/>
      </w:pPr>
      <w:r>
        <w:rPr/>
        <w:t xml:space="preserve"> </w:t>
      </w:r>
      <w:r>
        <w:rPr>
          <w:sz w:val="21"/>
          <w:b/>
        </w:rPr>
        <w:t>（3）pH水质自动分析仪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688"/>
        <w:gridCol w:w="4618"/>
      </w:tblGrid>
      <w:tr>
        <w:tc>
          <w:tcPr>
            <w:tcW w:type="dxa" w:w="3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玻璃电极法</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 0～14（0～40℃），可调</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漂移（pH=4、7、9）</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±0.1pH</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±0.1pH</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≤30s</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±0.1pH</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≥720h/次</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5</w:t>
            </w:r>
            <w:r>
              <w:rPr>
                <w:sz w:val="21"/>
              </w:rPr>
              <w:t>pH</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&lt;0.1pH</w:t>
            </w:r>
          </w:p>
        </w:tc>
      </w:tr>
      <w:tr>
        <w:tc>
          <w:tcPr>
            <w:tcW w:type="dxa" w:w="3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4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≥IP65</w:t>
            </w:r>
          </w:p>
        </w:tc>
      </w:tr>
    </w:tbl>
    <w:p>
      <w:pPr>
        <w:pStyle w:val="null3"/>
      </w:pPr>
      <w:r>
        <w:rPr/>
        <w:t xml:space="preserve"> </w:t>
      </w:r>
      <w:r>
        <w:rPr>
          <w:sz w:val="21"/>
          <w:b/>
        </w:rPr>
        <w:t>（4）溶解氧水质自动分析仪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662"/>
        <w:gridCol w:w="4644"/>
      </w:tblGrid>
      <w:tr>
        <w:tc>
          <w:tcPr>
            <w:tcW w:type="dxa" w:w="3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电化学法、荧光法</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0～20mg/L，可调</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±0.3mg/L</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±0.3mg/L</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±0.3mg/L</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响应时间（T90）</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≤120s</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±0.3mg/L</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≥720h/次</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&lt;0.1mg/l</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8</w:t>
            </w:r>
            <w:r>
              <w:rPr>
                <w:sz w:val="21"/>
              </w:rPr>
              <w:t>mg/L</w:t>
            </w:r>
            <w:r>
              <w:rPr>
                <w:sz w:val="21"/>
              </w:rPr>
              <w:t>，</w:t>
            </w:r>
            <w:r>
              <w:rPr>
                <w:sz w:val="21"/>
              </w:rPr>
              <w:t>当溶解氧水质自动分析仪与便携仪器均过饱和时，比对结果合格</w:t>
            </w:r>
          </w:p>
        </w:tc>
      </w:tr>
      <w:tr>
        <w:tc>
          <w:tcPr>
            <w:tcW w:type="dxa" w:w="3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4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≥IP65</w:t>
            </w:r>
          </w:p>
        </w:tc>
      </w:tr>
    </w:tbl>
    <w:p>
      <w:pPr>
        <w:pStyle w:val="null3"/>
      </w:pPr>
      <w:r>
        <w:rPr/>
        <w:t xml:space="preserve"> </w:t>
      </w:r>
      <w:r>
        <w:rPr>
          <w:sz w:val="21"/>
          <w:b/>
        </w:rPr>
        <w:t>（5）电导率水质自动分析仪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383"/>
        <w:gridCol w:w="4923"/>
      </w:tblGrid>
      <w:tr>
        <w:tc>
          <w:tcPr>
            <w:tcW w:type="dxa" w:w="3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电极法</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最小检测范围</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0～500 mS/m（0～40℃），可调</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标准溶液＞100</w:t>
            </w:r>
            <w:r>
              <w:rPr>
                <w:sz w:val="21"/>
              </w:rPr>
              <w:t>uS/cm</w:t>
            </w:r>
            <w:r>
              <w:rPr>
                <w:sz w:val="21"/>
              </w:rPr>
              <w:t>，</w:t>
            </w:r>
            <w:r>
              <w:rPr>
                <w:sz w:val="21"/>
              </w:rPr>
              <w:t>±</w:t>
            </w:r>
            <w:r>
              <w:rPr>
                <w:sz w:val="21"/>
              </w:rPr>
              <w:t>5</w:t>
            </w:r>
            <w:r>
              <w:rPr>
                <w:sz w:val="21"/>
              </w:rPr>
              <w:t>%</w:t>
            </w:r>
            <w:r>
              <w:rPr>
                <w:sz w:val="21"/>
              </w:rPr>
              <w:t>；</w:t>
            </w:r>
            <w:r>
              <w:rPr>
                <w:sz w:val="21"/>
              </w:rPr>
              <w:t>标准溶液≤100</w:t>
            </w:r>
            <w:r>
              <w:rPr>
                <w:sz w:val="21"/>
              </w:rPr>
              <w:t>uS/cm</w:t>
            </w:r>
            <w:r>
              <w:rPr>
                <w:sz w:val="21"/>
              </w:rPr>
              <w:t>，</w:t>
            </w:r>
            <w:r>
              <w:rPr>
                <w:sz w:val="21"/>
              </w:rPr>
              <w:t>≤5</w:t>
            </w:r>
            <w:r>
              <w:rPr>
                <w:sz w:val="21"/>
              </w:rPr>
              <w:t>uS/cm</w:t>
            </w:r>
            <w:r>
              <w:rPr>
                <w:sz w:val="21"/>
              </w:rPr>
              <w:t>以内</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响应时间（T90）</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≤30s</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≥720h/次</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便携式检测结果≤100</w:t>
            </w:r>
            <w:r>
              <w:rPr>
                <w:sz w:val="21"/>
              </w:rPr>
              <w:t>uS/cm</w:t>
            </w:r>
            <w:r>
              <w:rPr>
                <w:sz w:val="21"/>
              </w:rPr>
              <w:t>，</w:t>
            </w:r>
            <w:r>
              <w:rPr>
                <w:sz w:val="21"/>
              </w:rPr>
              <w:t>≤10</w:t>
            </w:r>
            <w:r>
              <w:rPr>
                <w:sz w:val="21"/>
              </w:rPr>
              <w:t>uS/cm</w:t>
            </w:r>
            <w:r>
              <w:rPr>
                <w:sz w:val="21"/>
              </w:rPr>
              <w:t>以内；便携式检测结果＞100</w:t>
            </w:r>
            <w:r>
              <w:rPr>
                <w:sz w:val="21"/>
              </w:rPr>
              <w:t>uS/cm</w:t>
            </w:r>
            <w:r>
              <w:rPr>
                <w:sz w:val="21"/>
              </w:rPr>
              <w:t>，</w:t>
            </w:r>
            <w:r>
              <w:rPr>
                <w:sz w:val="21"/>
              </w:rPr>
              <w:t>±</w:t>
            </w:r>
            <w:r>
              <w:rPr>
                <w:sz w:val="21"/>
              </w:rPr>
              <w:t>10</w:t>
            </w:r>
            <w:r>
              <w:rPr>
                <w:sz w:val="21"/>
              </w:rPr>
              <w:t>%</w:t>
            </w:r>
            <w:r>
              <w:rPr>
                <w:sz w:val="21"/>
              </w:rPr>
              <w:t>以内</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uS/cm</w:t>
            </w:r>
          </w:p>
        </w:tc>
      </w:tr>
      <w:tr>
        <w:tc>
          <w:tcPr>
            <w:tcW w:type="dxa" w:w="3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4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≥IP65</w:t>
            </w:r>
          </w:p>
        </w:tc>
      </w:tr>
    </w:tbl>
    <w:p>
      <w:pPr>
        <w:pStyle w:val="null3"/>
      </w:pPr>
      <w:r>
        <w:rPr/>
        <w:t xml:space="preserve"> </w:t>
      </w:r>
      <w:r>
        <w:rPr>
          <w:sz w:val="21"/>
          <w:b/>
        </w:rPr>
        <w:t>（6）浊度水质自动分析仪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759"/>
        <w:gridCol w:w="4547"/>
      </w:tblGrid>
      <w:tr>
        <w:tc>
          <w:tcPr>
            <w:tcW w:type="dxa" w:w="3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光散射法</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0～1000NTU，可调</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线性误差</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≥720h/次</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便携式结果≤50NTU，</w:t>
            </w:r>
            <w:r>
              <w:rPr>
                <w:sz w:val="21"/>
              </w:rPr>
              <w:t>±</w:t>
            </w:r>
            <w:r>
              <w:rPr>
                <w:sz w:val="21"/>
              </w:rPr>
              <w:t>3</w:t>
            </w:r>
            <w:r>
              <w:rPr>
                <w:sz w:val="21"/>
              </w:rPr>
              <w:t>0%</w:t>
            </w:r>
            <w:r>
              <w:rPr>
                <w:sz w:val="21"/>
              </w:rPr>
              <w:t>以内；便携式结果＞50NTU时，</w:t>
            </w:r>
            <w:r>
              <w:rPr>
                <w:sz w:val="21"/>
              </w:rPr>
              <w:t>±</w:t>
            </w:r>
            <w:r>
              <w:rPr>
                <w:sz w:val="21"/>
              </w:rPr>
              <w:t>2</w:t>
            </w:r>
            <w:r>
              <w:rPr>
                <w:sz w:val="21"/>
              </w:rPr>
              <w:t>0%</w:t>
            </w:r>
            <w:r>
              <w:rPr>
                <w:sz w:val="21"/>
              </w:rPr>
              <w:t>以内；当浊度自动监测仪与便携仪检测结果均≤30NTU或≥1000NTU时，判定比对结果合格。</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 NTU</w:t>
            </w:r>
          </w:p>
        </w:tc>
      </w:tr>
      <w:tr>
        <w:tc>
          <w:tcPr>
            <w:tcW w:type="dxa" w:w="3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4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≥IP65</w:t>
            </w:r>
          </w:p>
        </w:tc>
      </w:tr>
    </w:tbl>
    <w:p>
      <w:pPr>
        <w:pStyle w:val="null3"/>
      </w:pPr>
      <w:r>
        <w:rPr/>
        <w:t xml:space="preserve"> </w:t>
      </w:r>
      <w:r>
        <w:rPr>
          <w:sz w:val="21"/>
          <w:b/>
        </w:rPr>
        <w:t>（7）总磷水质自动分析仪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195"/>
        <w:gridCol w:w="3510"/>
      </w:tblGrid>
      <w:tr>
        <w:tc>
          <w:tcPr>
            <w:tcW w:type="dxa" w:w="3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钼酸铵分光光度法</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0～2mg/L，可调</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24h低浓度</w:t>
            </w:r>
            <w:r>
              <w:rPr>
                <w:sz w:val="21"/>
              </w:rPr>
              <w:t>漂移</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24h高浓度</w:t>
            </w:r>
            <w:r>
              <w:rPr>
                <w:sz w:val="21"/>
              </w:rPr>
              <w:t>漂移</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≤0.01mg/L</w:t>
            </w:r>
          </w:p>
        </w:tc>
      </w:tr>
      <w:tr>
        <w:tc>
          <w:tcPr>
            <w:tcW w:type="dxa" w:w="319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0.02mg/L以内</w:t>
            </w:r>
          </w:p>
        </w:tc>
      </w:tr>
      <w:tr>
        <w:tc>
          <w:tcPr>
            <w:tcW w:type="dxa" w:w="3195"/>
            <w:vMerge/>
            <w:tcBorders>
              <w:top w:val="none" w:color="000000" w:sz="4"/>
              <w:left w:val="single" w:color="000000" w:sz="4"/>
              <w:bottom w:val="none" w:color="000000" w:sz="4"/>
              <w:right w:val="single" w:color="000000" w:sz="4"/>
            </w:tcBorders>
          </w:tcP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10%以内</w:t>
            </w:r>
          </w:p>
        </w:tc>
      </w:tr>
      <w:tr>
        <w:tc>
          <w:tcPr>
            <w:tcW w:type="dxa" w:w="3195"/>
            <w:vMerge/>
            <w:tcBorders>
              <w:top w:val="none" w:color="000000" w:sz="4"/>
              <w:left w:val="single" w:color="000000" w:sz="4"/>
              <w:bottom w:val="none" w:color="000000" w:sz="4"/>
              <w:right w:val="single" w:color="000000" w:sz="4"/>
            </w:tcBorders>
          </w:tcP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直线相关系数，≥0.98</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80%～120%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≥720h/次</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（8）氨氮水质自动分析仪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195"/>
        <w:gridCol w:w="3510"/>
      </w:tblGrid>
      <w:tr>
        <w:tc>
          <w:tcPr>
            <w:tcW w:type="dxa" w:w="31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195"/>
            <w:vMerge/>
            <w:tcBorders>
              <w:top w:val="single" w:color="000000" w:sz="4"/>
              <w:left w:val="single" w:color="000000" w:sz="4"/>
              <w:bottom w:val="single" w:color="000000" w:sz="4"/>
              <w:right w:val="single" w:color="000000" w:sz="4"/>
            </w:tcBorders>
          </w:tcP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光度法</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0～10mg/l，可调</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24h低浓度</w:t>
            </w:r>
            <w:r>
              <w:rPr>
                <w:sz w:val="21"/>
              </w:rPr>
              <w:t>漂移</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24h高浓度</w:t>
            </w:r>
            <w:r>
              <w:rPr>
                <w:sz w:val="21"/>
              </w:rPr>
              <w:t>漂移</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≤0.05mg/l</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≥720h/次</w:t>
            </w:r>
          </w:p>
        </w:tc>
      </w:tr>
      <w:tr>
        <w:tc>
          <w:tcPr>
            <w:tcW w:type="dxa" w:w="319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0.2mg/L以内</w:t>
            </w:r>
          </w:p>
        </w:tc>
      </w:tr>
      <w:tr>
        <w:tc>
          <w:tcPr>
            <w:tcW w:type="dxa" w:w="3195"/>
            <w:vMerge/>
            <w:tcBorders>
              <w:top w:val="none" w:color="000000" w:sz="4"/>
              <w:left w:val="single" w:color="000000" w:sz="4"/>
              <w:bottom w:val="none" w:color="000000" w:sz="4"/>
              <w:right w:val="single" w:color="000000" w:sz="4"/>
            </w:tcBorders>
          </w:tcP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10%以内</w:t>
            </w:r>
          </w:p>
        </w:tc>
      </w:tr>
      <w:tr>
        <w:tc>
          <w:tcPr>
            <w:tcW w:type="dxa" w:w="3195"/>
            <w:vMerge/>
            <w:tcBorders>
              <w:top w:val="none" w:color="000000" w:sz="4"/>
              <w:left w:val="single" w:color="000000" w:sz="4"/>
              <w:bottom w:val="none" w:color="000000" w:sz="4"/>
              <w:right w:val="single" w:color="000000" w:sz="4"/>
            </w:tcBorders>
          </w:tcP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直线相关系数，≥0.98</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80%～120%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（9）高锰酸盐指数水质自动分析仪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165"/>
        <w:gridCol w:w="3540"/>
      </w:tblGrid>
      <w:tr>
        <w:tc>
          <w:tcPr>
            <w:tcW w:type="dxa" w:w="3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高锰酸钾氧化法</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0～20mg/L，可调</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24h高浓度</w:t>
            </w:r>
            <w:r>
              <w:rPr>
                <w:sz w:val="21"/>
              </w:rPr>
              <w:t>漂移</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24h低浓度</w:t>
            </w:r>
            <w:r>
              <w:rPr>
                <w:sz w:val="21"/>
              </w:rPr>
              <w:t>漂移</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葡萄糖试验</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±5%（测量误差）</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r>
              <w:rPr>
                <w:sz w:val="21"/>
              </w:rPr>
              <w:t>mg/L</w:t>
            </w:r>
          </w:p>
        </w:tc>
      </w:tr>
      <w:tr>
        <w:tc>
          <w:tcPr>
            <w:tcW w:type="dxa" w:w="316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1mg/L以内</w:t>
            </w:r>
          </w:p>
        </w:tc>
      </w:tr>
      <w:tr>
        <w:tc>
          <w:tcPr>
            <w:tcW w:type="dxa" w:w="3165"/>
            <w:vMerge/>
            <w:tcBorders>
              <w:top w:val="none" w:color="000000" w:sz="4"/>
              <w:left w:val="single" w:color="000000" w:sz="4"/>
              <w:bottom w:val="none" w:color="000000" w:sz="4"/>
              <w:right w:val="single" w:color="000000" w:sz="4"/>
            </w:tcBorders>
          </w:tcP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10%以内</w:t>
            </w:r>
          </w:p>
        </w:tc>
      </w:tr>
      <w:tr>
        <w:tc>
          <w:tcPr>
            <w:tcW w:type="dxa" w:w="3165"/>
            <w:vMerge/>
            <w:tcBorders>
              <w:top w:val="none" w:color="000000" w:sz="4"/>
              <w:left w:val="single" w:color="000000" w:sz="4"/>
              <w:bottom w:val="none" w:color="000000" w:sz="4"/>
              <w:right w:val="single" w:color="000000" w:sz="4"/>
            </w:tcBorders>
          </w:tcP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直线相关系数，≥0.98</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80%～120%</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 h/次</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10</w:t>
      </w:r>
      <w:r>
        <w:rPr>
          <w:sz w:val="21"/>
          <w:b/>
        </w:rPr>
        <w:t>）</w:t>
      </w:r>
      <w:r>
        <w:rPr>
          <w:sz w:val="21"/>
          <w:b/>
        </w:rPr>
        <w:t>总氮</w:t>
      </w:r>
      <w:r>
        <w:rPr>
          <w:sz w:val="21"/>
          <w:b/>
        </w:rPr>
        <w:t>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195"/>
        <w:gridCol w:w="3510"/>
      </w:tblGrid>
      <w:tr>
        <w:tc>
          <w:tcPr>
            <w:tcW w:type="dxa" w:w="31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195"/>
            <w:vMerge/>
            <w:tcBorders>
              <w:top w:val="single" w:color="000000" w:sz="4"/>
              <w:left w:val="single" w:color="000000" w:sz="4"/>
              <w:bottom w:val="single" w:color="000000" w:sz="4"/>
              <w:right w:val="single" w:color="000000" w:sz="4"/>
            </w:tcBorders>
          </w:tcP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光度法</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w:t>
            </w:r>
            <w:r>
              <w:rPr>
                <w:sz w:val="21"/>
              </w:rPr>
              <w:t>0</w:t>
            </w:r>
            <w:r>
              <w:rPr>
                <w:sz w:val="21"/>
              </w:rPr>
              <w:t>mg/l，可调</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24h低浓度</w:t>
            </w:r>
            <w:r>
              <w:rPr>
                <w:sz w:val="21"/>
              </w:rPr>
              <w:t>漂移</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24h高浓度</w:t>
            </w:r>
            <w:r>
              <w:rPr>
                <w:sz w:val="21"/>
              </w:rPr>
              <w:t>漂移</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1</w:t>
            </w:r>
            <w:r>
              <w:rPr>
                <w:sz w:val="21"/>
              </w:rPr>
              <w:t>mg/l</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≥720h/次</w:t>
            </w:r>
          </w:p>
        </w:tc>
      </w:tr>
      <w:tr>
        <w:tc>
          <w:tcPr>
            <w:tcW w:type="dxa" w:w="319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0.3mg/L以内</w:t>
            </w:r>
          </w:p>
        </w:tc>
      </w:tr>
      <w:tr>
        <w:tc>
          <w:tcPr>
            <w:tcW w:type="dxa" w:w="3195"/>
            <w:vMerge/>
            <w:tcBorders>
              <w:top w:val="none" w:color="000000" w:sz="4"/>
              <w:left w:val="single" w:color="000000" w:sz="4"/>
              <w:bottom w:val="none" w:color="000000" w:sz="4"/>
              <w:right w:val="single" w:color="000000" w:sz="4"/>
            </w:tcBorders>
          </w:tcP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10%以内</w:t>
            </w:r>
          </w:p>
        </w:tc>
      </w:tr>
      <w:tr>
        <w:tc>
          <w:tcPr>
            <w:tcW w:type="dxa" w:w="3195"/>
            <w:vMerge/>
            <w:tcBorders>
              <w:top w:val="none" w:color="000000" w:sz="4"/>
              <w:left w:val="single" w:color="000000" w:sz="4"/>
              <w:bottom w:val="none" w:color="000000" w:sz="4"/>
              <w:right w:val="single" w:color="000000" w:sz="4"/>
            </w:tcBorders>
          </w:tcP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直线相关系数，≥0.98</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80%～120%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jc w:val="both"/>
      </w:pPr>
      <w:r>
        <w:rPr>
          <w:sz w:val="21"/>
        </w:rPr>
        <w:t>注：①当</w:t>
      </w:r>
      <w:r>
        <w:rPr>
          <w:sz w:val="21"/>
          <w:i/>
        </w:rPr>
        <w:t>Cx</w:t>
      </w:r>
      <w:r>
        <w:rPr>
          <w:sz w:val="21"/>
        </w:rPr>
        <w:t xml:space="preserve">&gt; </w:t>
      </w:r>
      <w:r>
        <w:rPr>
          <w:sz w:val="21"/>
          <w:i/>
        </w:rPr>
        <w:t>B</w:t>
      </w:r>
      <w:r>
        <w:rPr>
          <w:sz w:val="21"/>
        </w:rPr>
        <w:t>Ⅳ，比对实验的相对误差在20%以内；</w:t>
      </w:r>
    </w:p>
    <w:p>
      <w:pPr>
        <w:pStyle w:val="null3"/>
        <w:ind w:firstLine="630"/>
        <w:jc w:val="both"/>
      </w:pPr>
      <w:r>
        <w:rPr>
          <w:sz w:val="21"/>
        </w:rPr>
        <w:t>当</w:t>
      </w:r>
      <w:r>
        <w:rPr>
          <w:sz w:val="21"/>
          <w:i/>
        </w:rPr>
        <w:t>B</w:t>
      </w:r>
      <w:r>
        <w:rPr>
          <w:sz w:val="21"/>
        </w:rPr>
        <w:t xml:space="preserve">Ⅱ&lt; </w:t>
      </w:r>
      <w:r>
        <w:rPr>
          <w:sz w:val="21"/>
          <w:i/>
        </w:rPr>
        <w:t>Cx</w:t>
      </w:r>
      <w:r>
        <w:rPr>
          <w:sz w:val="21"/>
        </w:rPr>
        <w:t xml:space="preserve">£ </w:t>
      </w:r>
      <w:r>
        <w:rPr>
          <w:sz w:val="21"/>
          <w:i/>
        </w:rPr>
        <w:t>B</w:t>
      </w:r>
      <w:r>
        <w:rPr>
          <w:sz w:val="21"/>
        </w:rPr>
        <w:t>Ⅳ，比对实验的相对误差在30%以内；</w:t>
      </w:r>
    </w:p>
    <w:p>
      <w:pPr>
        <w:pStyle w:val="null3"/>
        <w:ind w:firstLine="630"/>
        <w:jc w:val="both"/>
      </w:pPr>
      <w:r>
        <w:rPr>
          <w:sz w:val="21"/>
        </w:rPr>
        <w:t>当4</w:t>
      </w:r>
      <w:r>
        <w:rPr>
          <w:sz w:val="21"/>
          <w:i/>
        </w:rPr>
        <w:t>DL</w:t>
      </w:r>
      <w:r>
        <w:rPr>
          <w:sz w:val="21"/>
        </w:rPr>
        <w:t xml:space="preserve">&lt; </w:t>
      </w:r>
      <w:r>
        <w:rPr>
          <w:sz w:val="21"/>
          <w:i/>
        </w:rPr>
        <w:t>Cx</w:t>
      </w:r>
      <w:r>
        <w:rPr>
          <w:sz w:val="21"/>
        </w:rPr>
        <w:t xml:space="preserve">£ </w:t>
      </w:r>
      <w:r>
        <w:rPr>
          <w:sz w:val="21"/>
          <w:i/>
        </w:rPr>
        <w:t>B</w:t>
      </w:r>
      <w:r>
        <w:rPr>
          <w:sz w:val="21"/>
        </w:rPr>
        <w:t>Ⅱ，比对实验的相对误差在40%以内；</w:t>
      </w:r>
    </w:p>
    <w:p>
      <w:pPr>
        <w:pStyle w:val="null3"/>
        <w:jc w:val="both"/>
      </w:pPr>
      <w:r>
        <w:rPr>
          <w:sz w:val="21"/>
        </w:rPr>
        <w:t>当自动监测数据和实验室分析结果双方都未检出，或有一方未检出且另一方的测定值低于</w:t>
      </w:r>
      <w:r>
        <w:rPr>
          <w:sz w:val="21"/>
          <w:i/>
        </w:rPr>
        <w:t>B</w:t>
      </w:r>
      <w:r>
        <w:rPr>
          <w:sz w:val="21"/>
        </w:rPr>
        <w:t>Ⅰ时，均认定对比实验结果合格；</w:t>
      </w:r>
    </w:p>
    <w:p>
      <w:pPr>
        <w:pStyle w:val="null3"/>
        <w:ind w:firstLine="630"/>
        <w:jc w:val="both"/>
      </w:pPr>
      <w:r>
        <w:rPr>
          <w:sz w:val="21"/>
        </w:rPr>
        <w:t>式中：</w:t>
      </w:r>
      <w:r>
        <w:rPr>
          <w:sz w:val="21"/>
          <w:i/>
        </w:rPr>
        <w:t>Cx</w:t>
      </w:r>
      <w:r>
        <w:rPr>
          <w:sz w:val="21"/>
        </w:rPr>
        <w:t>——仪器测定浓度；</w:t>
      </w:r>
    </w:p>
    <w:p>
      <w:pPr>
        <w:pStyle w:val="null3"/>
        <w:jc w:val="both"/>
      </w:pPr>
      <w:r>
        <w:rPr>
          <w:sz w:val="21"/>
          <w:i/>
        </w:rPr>
        <w:t>B</w:t>
      </w:r>
      <w:r>
        <w:rPr>
          <w:sz w:val="21"/>
        </w:rPr>
        <w:t>——GB 3838表1中相应的水质类别标准限值；</w:t>
      </w:r>
    </w:p>
    <w:p>
      <w:pPr>
        <w:pStyle w:val="null3"/>
        <w:jc w:val="both"/>
      </w:pPr>
      <w:r>
        <w:rPr>
          <w:sz w:val="21"/>
        </w:rPr>
        <w:t>4</w:t>
      </w:r>
      <w:r>
        <w:rPr>
          <w:sz w:val="21"/>
          <w:i/>
        </w:rPr>
        <w:t>DL</w:t>
      </w:r>
      <w:r>
        <w:rPr>
          <w:sz w:val="21"/>
        </w:rPr>
        <w:t>——测定下限。</w:t>
      </w:r>
    </w:p>
    <w:p>
      <w:pPr>
        <w:pStyle w:val="null3"/>
        <w:jc w:val="both"/>
      </w:pPr>
      <w:r>
        <w:rPr>
          <w:sz w:val="21"/>
          <w:b/>
        </w:rPr>
        <w:t>（</w:t>
      </w:r>
      <w:r>
        <w:rPr>
          <w:sz w:val="21"/>
          <w:b/>
        </w:rPr>
        <w:t>二</w:t>
      </w:r>
      <w:r>
        <w:rPr>
          <w:sz w:val="21"/>
          <w:b/>
        </w:rPr>
        <w:t>）</w:t>
      </w:r>
      <w:r>
        <w:rPr>
          <w:sz w:val="21"/>
          <w:b/>
        </w:rPr>
        <w:t>运维管理要求：</w:t>
      </w:r>
    </w:p>
    <w:p>
      <w:pPr>
        <w:pStyle w:val="null3"/>
        <w:jc w:val="both"/>
      </w:pPr>
      <w:r>
        <w:rPr>
          <w:sz w:val="21"/>
        </w:rPr>
        <w:t>1.运行维护基本要求</w:t>
      </w:r>
    </w:p>
    <w:p>
      <w:pPr>
        <w:pStyle w:val="null3"/>
        <w:jc w:val="both"/>
      </w:pPr>
      <w:r>
        <w:rPr>
          <w:sz w:val="21"/>
        </w:rPr>
        <w:t>乙方</w:t>
      </w:r>
      <w:r>
        <w:rPr>
          <w:sz w:val="21"/>
        </w:rPr>
        <w:t>在服务期必须遵守国家的有关法律、法规及其他规定，依照有关规范和技术要求，建立覆盖人、机、料、法、环等环节的运维管理体系</w:t>
      </w:r>
      <w:r>
        <w:rPr>
          <w:sz w:val="21"/>
        </w:rPr>
        <w:t>，</w:t>
      </w:r>
      <w:r>
        <w:rPr>
          <w:sz w:val="21"/>
        </w:rPr>
        <w:t xml:space="preserve"> 保障水质监测系统正常可靠运行，运行结果达到</w:t>
      </w:r>
      <w:r>
        <w:rPr>
          <w:sz w:val="21"/>
        </w:rPr>
        <w:t>甲方</w:t>
      </w:r>
      <w:r>
        <w:rPr>
          <w:sz w:val="21"/>
        </w:rPr>
        <w:t>的考核指标要求。</w:t>
      </w:r>
    </w:p>
    <w:p>
      <w:pPr>
        <w:pStyle w:val="null3"/>
        <w:jc w:val="both"/>
      </w:pPr>
      <w:r>
        <w:rPr>
          <w:sz w:val="21"/>
        </w:rPr>
        <w:t>（</w:t>
      </w:r>
      <w:r>
        <w:rPr>
          <w:sz w:val="21"/>
        </w:rPr>
        <w:t>1</w:t>
      </w:r>
      <w:r>
        <w:rPr>
          <w:sz w:val="21"/>
        </w:rPr>
        <w:t>）</w:t>
      </w:r>
      <w:r>
        <w:rPr>
          <w:sz w:val="21"/>
        </w:rPr>
        <w:t>监测频次</w:t>
      </w:r>
    </w:p>
    <w:p>
      <w:pPr>
        <w:pStyle w:val="null3"/>
        <w:jc w:val="both"/>
      </w:pPr>
      <w:r>
        <w:rPr>
          <w:sz w:val="21"/>
        </w:rPr>
        <w:t>常规五参数（</w:t>
      </w:r>
      <w:r>
        <w:rPr>
          <w:sz w:val="21"/>
        </w:rPr>
        <w:t>pH值</w:t>
      </w:r>
      <w:r>
        <w:rPr>
          <w:sz w:val="21"/>
        </w:rPr>
        <w:t>、溶解氧、浊度、电导率、水温）应按照每小时1次的频次进行监测，其他参数应按照4小时1次的频次进行水质监测，具体为0:00、4:00、8:00、12:00、16:00、20:00，必要时可进行加密监测。</w:t>
      </w:r>
    </w:p>
    <w:p>
      <w:pPr>
        <w:pStyle w:val="null3"/>
        <w:jc w:val="both"/>
      </w:pPr>
      <w:r>
        <w:rPr>
          <w:sz w:val="21"/>
        </w:rPr>
        <w:t>（</w:t>
      </w:r>
      <w:r>
        <w:rPr>
          <w:sz w:val="21"/>
        </w:rPr>
        <w:t>2</w:t>
      </w:r>
      <w:r>
        <w:rPr>
          <w:sz w:val="21"/>
        </w:rPr>
        <w:t>）</w:t>
      </w:r>
      <w:r>
        <w:rPr>
          <w:sz w:val="21"/>
        </w:rPr>
        <w:t>运维计划和运维报告</w:t>
      </w:r>
    </w:p>
    <w:p>
      <w:pPr>
        <w:pStyle w:val="null3"/>
        <w:jc w:val="both"/>
      </w:pPr>
      <w:r>
        <w:rPr>
          <w:sz w:val="21"/>
        </w:rPr>
        <w:t>1</w:t>
      </w:r>
      <w:r>
        <w:rPr>
          <w:sz w:val="21"/>
        </w:rPr>
        <w:t>）</w:t>
      </w:r>
      <w:r>
        <w:rPr>
          <w:sz w:val="21"/>
        </w:rPr>
        <w:t>运维计划</w:t>
      </w:r>
    </w:p>
    <w:p>
      <w:pPr>
        <w:pStyle w:val="null3"/>
        <w:jc w:val="both"/>
      </w:pPr>
      <w:r>
        <w:rPr>
          <w:sz w:val="21"/>
        </w:rPr>
        <w:t>乙方</w:t>
      </w:r>
      <w:r>
        <w:rPr>
          <w:sz w:val="21"/>
        </w:rPr>
        <w:t>定期制定运维计划，内容包括维护时间、维护人员、维护内容（试剂更换、耗材更换、仪器校准、部件清洗）等。</w:t>
      </w:r>
    </w:p>
    <w:p>
      <w:pPr>
        <w:pStyle w:val="null3"/>
        <w:jc w:val="both"/>
      </w:pPr>
      <w:r>
        <w:rPr>
          <w:sz w:val="21"/>
        </w:rPr>
        <w:t>2</w:t>
      </w:r>
      <w:r>
        <w:rPr>
          <w:sz w:val="21"/>
        </w:rPr>
        <w:t>）</w:t>
      </w:r>
      <w:r>
        <w:rPr>
          <w:sz w:val="21"/>
        </w:rPr>
        <w:t>运维报告</w:t>
      </w:r>
    </w:p>
    <w:p>
      <w:pPr>
        <w:pStyle w:val="null3"/>
        <w:jc w:val="both"/>
      </w:pPr>
      <w:r>
        <w:rPr>
          <w:sz w:val="21"/>
        </w:rPr>
        <w:t>乙方</w:t>
      </w:r>
      <w:r>
        <w:rPr>
          <w:sz w:val="21"/>
        </w:rPr>
        <w:t>每月3日前应提交上月运维报告（如遇节假日可以延后至节假日后第一个工作日提交），内容包括水站参数配置、维护人员、实际巡检日期、维护内容、维护效果等。</w:t>
      </w:r>
    </w:p>
    <w:p>
      <w:pPr>
        <w:pStyle w:val="null3"/>
        <w:jc w:val="both"/>
      </w:pPr>
      <w:r>
        <w:rPr>
          <w:sz w:val="21"/>
        </w:rPr>
        <w:t>（</w:t>
      </w:r>
      <w:r>
        <w:rPr>
          <w:sz w:val="21"/>
        </w:rPr>
        <w:t>3</w:t>
      </w:r>
      <w:r>
        <w:rPr>
          <w:sz w:val="21"/>
        </w:rPr>
        <w:t>）</w:t>
      </w:r>
      <w:r>
        <w:rPr>
          <w:sz w:val="21"/>
        </w:rPr>
        <w:t>质控计划与质控报告</w:t>
      </w:r>
    </w:p>
    <w:p>
      <w:pPr>
        <w:pStyle w:val="null3"/>
        <w:jc w:val="both"/>
      </w:pPr>
      <w:r>
        <w:rPr>
          <w:sz w:val="21"/>
        </w:rPr>
        <w:t>1</w:t>
      </w:r>
      <w:r>
        <w:rPr>
          <w:sz w:val="21"/>
        </w:rPr>
        <w:t>）</w:t>
      </w:r>
      <w:r>
        <w:rPr>
          <w:sz w:val="21"/>
        </w:rPr>
        <w:t>质控计划</w:t>
      </w:r>
    </w:p>
    <w:p>
      <w:pPr>
        <w:pStyle w:val="null3"/>
        <w:jc w:val="both"/>
      </w:pPr>
      <w:r>
        <w:rPr>
          <w:sz w:val="21"/>
        </w:rPr>
        <w:t>乙方</w:t>
      </w:r>
      <w:r>
        <w:rPr>
          <w:sz w:val="21"/>
        </w:rPr>
        <w:t>每月最后一周应制定下月质控计划，内容包括水站各监测项目质控措施及计划质控时间、质控测试所采用标准溶液浓度等。</w:t>
      </w:r>
    </w:p>
    <w:p>
      <w:pPr>
        <w:pStyle w:val="null3"/>
        <w:jc w:val="both"/>
      </w:pPr>
      <w:r>
        <w:rPr>
          <w:sz w:val="21"/>
        </w:rPr>
        <w:t>2</w:t>
      </w:r>
      <w:r>
        <w:rPr>
          <w:sz w:val="21"/>
        </w:rPr>
        <w:t>）</w:t>
      </w:r>
      <w:r>
        <w:rPr>
          <w:sz w:val="21"/>
        </w:rPr>
        <w:t>质控报告</w:t>
      </w:r>
    </w:p>
    <w:p>
      <w:pPr>
        <w:pStyle w:val="null3"/>
        <w:jc w:val="both"/>
      </w:pPr>
      <w:r>
        <w:rPr>
          <w:sz w:val="21"/>
        </w:rPr>
        <w:t>乙方</w:t>
      </w:r>
      <w:r>
        <w:rPr>
          <w:sz w:val="21"/>
        </w:rPr>
        <w:t>每月3日前应提交上月质控报告（如遇节假日可以延后至节假日后第一个工作日提交），内容包括水站名称、仪器配置、维护人员、已实施的质控措施、质控实施日期、各监测项目标准溶液浓度、质控结果说明、校准及维护措施数据有效率等。</w:t>
      </w:r>
    </w:p>
    <w:p>
      <w:pPr>
        <w:pStyle w:val="null3"/>
        <w:jc w:val="both"/>
      </w:pPr>
      <w:r>
        <w:rPr>
          <w:sz w:val="21"/>
        </w:rPr>
        <w:t>2.质量保证与质量控制</w:t>
      </w:r>
    </w:p>
    <w:p>
      <w:pPr>
        <w:pStyle w:val="null3"/>
        <w:jc w:val="both"/>
      </w:pPr>
      <w:r>
        <w:rPr>
          <w:sz w:val="21"/>
        </w:rPr>
        <w:t>（</w:t>
      </w:r>
      <w:r>
        <w:rPr>
          <w:sz w:val="21"/>
        </w:rPr>
        <w:t>1</w:t>
      </w:r>
      <w:r>
        <w:rPr>
          <w:sz w:val="21"/>
        </w:rPr>
        <w:t>）</w:t>
      </w:r>
      <w:r>
        <w:rPr>
          <w:sz w:val="21"/>
        </w:rPr>
        <w:t>总体目标</w:t>
      </w:r>
    </w:p>
    <w:p>
      <w:pPr>
        <w:pStyle w:val="null3"/>
        <w:jc w:val="both"/>
      </w:pPr>
      <w:r>
        <w:rPr>
          <w:sz w:val="21"/>
        </w:rPr>
        <w:t>建立由日质控、周核查、月质控等多级质控措施以及仪器关键参数上传、远程控制等组成的质控体系多维度管理模式，以保证地表水水质自动监测站数据有效率不低于</w:t>
      </w:r>
      <w:r>
        <w:rPr>
          <w:sz w:val="21"/>
        </w:rPr>
        <w:t>90</w:t>
      </w:r>
      <w:r>
        <w:rPr>
          <w:sz w:val="21"/>
        </w:rPr>
        <w:t>%。</w:t>
      </w:r>
    </w:p>
    <w:p>
      <w:pPr>
        <w:pStyle w:val="null3"/>
        <w:jc w:val="both"/>
      </w:pPr>
      <w:r>
        <w:rPr>
          <w:sz w:val="21"/>
        </w:rPr>
        <w:t>（</w:t>
      </w:r>
      <w:r>
        <w:rPr>
          <w:sz w:val="21"/>
        </w:rPr>
        <w:t>2</w:t>
      </w:r>
      <w:r>
        <w:rPr>
          <w:sz w:val="21"/>
        </w:rPr>
        <w:t>）</w:t>
      </w:r>
      <w:r>
        <w:rPr>
          <w:sz w:val="21"/>
        </w:rPr>
        <w:t>总体要求</w:t>
      </w:r>
    </w:p>
    <w:p>
      <w:pPr>
        <w:pStyle w:val="null3"/>
        <w:jc w:val="both"/>
      </w:pPr>
      <w:r>
        <w:rPr>
          <w:sz w:val="21"/>
        </w:rPr>
        <w:t>1</w:t>
      </w:r>
      <w:r>
        <w:rPr>
          <w:sz w:val="21"/>
        </w:rPr>
        <w:t>）</w:t>
      </w:r>
      <w:r>
        <w:rPr>
          <w:sz w:val="21"/>
        </w:rPr>
        <w:t>当监测项目水体浓度连续超出仪器当前跨度值时，应重新确定跨度，并进行标样核查；当监测项目水质类别发生变化且未超出当前跨度值时，可继续使用当前跨度；</w:t>
      </w:r>
    </w:p>
    <w:p>
      <w:pPr>
        <w:pStyle w:val="null3"/>
        <w:jc w:val="both"/>
      </w:pPr>
      <w:r>
        <w:rPr>
          <w:sz w:val="21"/>
        </w:rPr>
        <w:t>2</w:t>
      </w:r>
      <w:r>
        <w:rPr>
          <w:sz w:val="21"/>
        </w:rPr>
        <w:t>）</w:t>
      </w:r>
      <w:r>
        <w:rPr>
          <w:sz w:val="21"/>
        </w:rPr>
        <w:t>当监测项目上一个月20天以上为Ⅰ~Ⅱ类时，质控措施应按照Ⅰ~Ⅱ类水体的质控要求进行，否则质控措施应按照Ⅲ~劣Ⅴ类水体的质控要求进行；</w:t>
      </w:r>
    </w:p>
    <w:p>
      <w:pPr>
        <w:pStyle w:val="null3"/>
        <w:jc w:val="both"/>
      </w:pPr>
      <w:r>
        <w:rPr>
          <w:sz w:val="21"/>
        </w:rPr>
        <w:t>3</w:t>
      </w:r>
      <w:r>
        <w:rPr>
          <w:sz w:val="21"/>
        </w:rPr>
        <w:t>）</w:t>
      </w:r>
      <w:r>
        <w:rPr>
          <w:sz w:val="21"/>
        </w:rPr>
        <w:t>高锰酸盐指数、氨氮、总磷、总氮水质自动监测仪器每24h应至少开展一次期间自动标样核查，自动标样核查包括低、高2个浓度，每个浓度各测试一次，核查性能指标应满足表2的要求。应根据GB3838中监测项目水质类别限值选择合适的标准溶液浓度，设置自动标样核查的上限值，具体要求如下：</w:t>
      </w:r>
    </w:p>
    <w:p>
      <w:pPr>
        <w:pStyle w:val="null3"/>
        <w:jc w:val="both"/>
      </w:pPr>
      <w:r>
        <w:rPr>
          <w:sz w:val="21"/>
        </w:rPr>
        <w:t>a）监测项目对应的水质类别为Ⅰ~Ⅱ类时，通常设置为Ⅱ类水质标准限值的2倍；</w:t>
      </w:r>
    </w:p>
    <w:p>
      <w:pPr>
        <w:pStyle w:val="null3"/>
        <w:jc w:val="both"/>
      </w:pPr>
      <w:r>
        <w:rPr>
          <w:sz w:val="21"/>
        </w:rPr>
        <w:t>b）监测项目对应的水质类别为Ⅲ~Ⅴ类时，通常设置为水质类别标准限值的2倍；</w:t>
      </w:r>
    </w:p>
    <w:p>
      <w:pPr>
        <w:pStyle w:val="null3"/>
        <w:jc w:val="both"/>
      </w:pPr>
      <w:r>
        <w:rPr>
          <w:sz w:val="21"/>
        </w:rPr>
        <w:t>c）总磷（湖、库）Ⅰ~Ⅱ时通常设置为0.2mg/L；</w:t>
      </w:r>
    </w:p>
    <w:p>
      <w:pPr>
        <w:pStyle w:val="null3"/>
        <w:jc w:val="both"/>
      </w:pPr>
      <w:r>
        <w:rPr>
          <w:sz w:val="21"/>
        </w:rPr>
        <w:t>d）监测项目无水质标准限值或对应的水质类别为劣Ⅴ类水时，通常设置为该监测项目前7日水质测定均值的2倍。</w:t>
      </w:r>
    </w:p>
    <w:p>
      <w:pPr>
        <w:pStyle w:val="null3"/>
        <w:jc w:val="both"/>
      </w:pPr>
      <w:r>
        <w:rPr>
          <w:sz w:val="21"/>
        </w:rPr>
        <w:t>4）水样测试和标样核查应使用同一量程或设置为同一稀释流程（稀释倍数）</w:t>
      </w:r>
      <w:r>
        <w:rPr>
          <w:sz w:val="21"/>
        </w:rPr>
        <w:t>；</w:t>
      </w:r>
    </w:p>
    <w:p>
      <w:pPr>
        <w:pStyle w:val="null3"/>
        <w:jc w:val="both"/>
      </w:pPr>
      <w:r>
        <w:rPr>
          <w:sz w:val="21"/>
        </w:rPr>
        <w:t>4</w:t>
      </w:r>
      <w:r>
        <w:rPr>
          <w:sz w:val="21"/>
        </w:rPr>
        <w:t>）</w:t>
      </w:r>
      <w:r>
        <w:rPr>
          <w:sz w:val="21"/>
        </w:rPr>
        <w:t>水站原则上应连续运行，因电力故障、采水故障、水位过低、自然断流等不可抗力因素导致停运的，应及时报告</w:t>
      </w:r>
      <w:r>
        <w:rPr>
          <w:sz w:val="21"/>
        </w:rPr>
        <w:t>；</w:t>
      </w:r>
    </w:p>
    <w:p>
      <w:pPr>
        <w:pStyle w:val="null3"/>
        <w:jc w:val="both"/>
      </w:pPr>
      <w:r>
        <w:rPr>
          <w:sz w:val="21"/>
        </w:rPr>
        <w:t>5）</w:t>
      </w:r>
      <w:r>
        <w:rPr>
          <w:sz w:val="21"/>
        </w:rPr>
        <w:t>每周进行的质控措施，与前一次间隔时间不得小于4天；每月开展的质控措施，与前一次间隔时间不得小于15天</w:t>
      </w:r>
      <w:r>
        <w:rPr>
          <w:sz w:val="21"/>
        </w:rPr>
        <w:t>；</w:t>
      </w:r>
    </w:p>
    <w:p>
      <w:pPr>
        <w:pStyle w:val="null3"/>
        <w:jc w:val="both"/>
      </w:pPr>
      <w:r>
        <w:rPr>
          <w:sz w:val="21"/>
        </w:rPr>
        <w:t>6</w:t>
      </w:r>
      <w:r>
        <w:rPr>
          <w:sz w:val="21"/>
        </w:rPr>
        <w:t>）</w:t>
      </w:r>
      <w:r>
        <w:rPr>
          <w:sz w:val="21"/>
        </w:rPr>
        <w:t>所有维护及质控测试均应形成记录。</w:t>
      </w:r>
    </w:p>
    <w:p>
      <w:pPr>
        <w:pStyle w:val="null3"/>
        <w:jc w:val="both"/>
      </w:pPr>
      <w:r>
        <w:rPr>
          <w:sz w:val="21"/>
        </w:rPr>
        <w:t>（</w:t>
      </w:r>
      <w:r>
        <w:rPr>
          <w:sz w:val="21"/>
        </w:rPr>
        <w:t>3</w:t>
      </w:r>
      <w:r>
        <w:rPr>
          <w:sz w:val="21"/>
        </w:rPr>
        <w:t>）</w:t>
      </w:r>
      <w:r>
        <w:rPr>
          <w:sz w:val="21"/>
        </w:rPr>
        <w:t>质量保证与质量控制措施及实施</w:t>
      </w:r>
    </w:p>
    <w:p>
      <w:pPr>
        <w:pStyle w:val="null3"/>
        <w:jc w:val="both"/>
      </w:pPr>
      <w:r>
        <w:rPr>
          <w:sz w:val="21"/>
        </w:rPr>
        <w:t>1</w:t>
      </w:r>
      <w:r>
        <w:rPr>
          <w:sz w:val="21"/>
        </w:rPr>
        <w:t>）</w:t>
      </w:r>
      <w:r>
        <w:rPr>
          <w:sz w:val="21"/>
        </w:rPr>
        <w:t>质量保证与质量控制实施要求</w:t>
      </w:r>
    </w:p>
    <w:p>
      <w:pPr>
        <w:pStyle w:val="null3"/>
        <w:jc w:val="both"/>
      </w:pPr>
      <w:r>
        <w:rPr>
          <w:sz w:val="21"/>
        </w:rPr>
        <w:t>水站应按照表1规定的质控项目开展水站质控措施，实施频次应不低于表1规定。</w:t>
      </w:r>
    </w:p>
    <w:p>
      <w:pPr>
        <w:pStyle w:val="null3"/>
        <w:jc w:val="both"/>
      </w:pPr>
      <w:r>
        <w:rPr>
          <w:sz w:val="21"/>
        </w:rPr>
        <w:t>①　针对所有水站，氨氮、高锰酸盐指数、总磷</w:t>
      </w:r>
      <w:r>
        <w:rPr>
          <w:sz w:val="21"/>
        </w:rPr>
        <w:t>、</w:t>
      </w:r>
      <w:r>
        <w:rPr>
          <w:sz w:val="21"/>
        </w:rPr>
        <w:t>总氮自动监测仪器</w:t>
      </w:r>
      <w:r>
        <w:rPr>
          <w:sz w:val="21"/>
        </w:rPr>
        <w:t>应每24小时至少进行1次</w:t>
      </w:r>
      <w:r>
        <w:rPr>
          <w:sz w:val="21"/>
        </w:rPr>
        <w:t>低浓度</w:t>
      </w:r>
      <w:r>
        <w:rPr>
          <w:sz w:val="21"/>
        </w:rPr>
        <w:t>核查和</w:t>
      </w:r>
      <w:r>
        <w:rPr>
          <w:sz w:val="21"/>
        </w:rPr>
        <w:t>高浓度标样</w:t>
      </w:r>
      <w:r>
        <w:rPr>
          <w:sz w:val="21"/>
        </w:rPr>
        <w:t>核查；</w:t>
      </w:r>
    </w:p>
    <w:p>
      <w:pPr>
        <w:pStyle w:val="null3"/>
        <w:jc w:val="both"/>
      </w:pPr>
      <w:r>
        <w:rPr>
          <w:sz w:val="21"/>
        </w:rPr>
        <w:t>②　</w:t>
      </w:r>
      <w:r>
        <w:rPr>
          <w:sz w:val="21"/>
        </w:rPr>
        <w:t>常规五参数水质自动监测仪器</w:t>
      </w:r>
      <w:r>
        <w:rPr>
          <w:sz w:val="21"/>
        </w:rPr>
        <w:t>每周</w:t>
      </w:r>
      <w:r>
        <w:rPr>
          <w:sz w:val="21"/>
        </w:rPr>
        <w:t>至少</w:t>
      </w:r>
      <w:r>
        <w:rPr>
          <w:sz w:val="21"/>
        </w:rPr>
        <w:t>进行一次标样核查</w:t>
      </w:r>
      <w:r>
        <w:rPr>
          <w:sz w:val="21"/>
        </w:rPr>
        <w:t>；</w:t>
      </w:r>
      <w:r>
        <w:rPr>
          <w:sz w:val="21"/>
        </w:rPr>
        <w:t>无需频次加密时，2次标样核查的间隔时间不得少于4天；</w:t>
      </w:r>
    </w:p>
    <w:p>
      <w:pPr>
        <w:pStyle w:val="null3"/>
        <w:jc w:val="both"/>
      </w:pPr>
      <w:r>
        <w:rPr>
          <w:sz w:val="21"/>
        </w:rPr>
        <w:t>③  高锰酸盐指数、氨氮、总磷、总氮水质自动监测仪器每月至少开展1次多点线性核查；</w:t>
      </w:r>
    </w:p>
    <w:p>
      <w:pPr>
        <w:pStyle w:val="null3"/>
        <w:jc w:val="both"/>
      </w:pPr>
      <w:r>
        <w:rPr>
          <w:sz w:val="21"/>
        </w:rPr>
        <w:t xml:space="preserve">④  </w:t>
      </w:r>
      <w:r>
        <w:rPr>
          <w:sz w:val="21"/>
        </w:rPr>
        <w:t>针对</w:t>
      </w:r>
      <w:r>
        <w:rPr>
          <w:sz w:val="21"/>
        </w:rPr>
        <w:t>测试评价结果为</w:t>
      </w:r>
      <w:r>
        <w:rPr>
          <w:sz w:val="21"/>
        </w:rPr>
        <w:t>Ⅲ~劣Ⅴ类水体，高锰酸盐指数、</w:t>
      </w:r>
      <w:r>
        <w:rPr>
          <w:sz w:val="21"/>
        </w:rPr>
        <w:t>氨氮、</w:t>
      </w:r>
      <w:r>
        <w:rPr>
          <w:sz w:val="21"/>
        </w:rPr>
        <w:t>总磷</w:t>
      </w:r>
      <w:r>
        <w:rPr>
          <w:sz w:val="21"/>
        </w:rPr>
        <w:t>、</w:t>
      </w:r>
      <w:r>
        <w:rPr>
          <w:sz w:val="21"/>
        </w:rPr>
        <w:t>总氮水质自动监测仪器</w:t>
      </w:r>
      <w:r>
        <w:rPr>
          <w:sz w:val="21"/>
        </w:rPr>
        <w:t>每月至少</w:t>
      </w:r>
      <w:r>
        <w:rPr>
          <w:sz w:val="21"/>
        </w:rPr>
        <w:t>开展</w:t>
      </w:r>
      <w:r>
        <w:rPr>
          <w:sz w:val="21"/>
        </w:rPr>
        <w:t>1次集成</w:t>
      </w:r>
      <w:r>
        <w:rPr>
          <w:sz w:val="21"/>
        </w:rPr>
        <w:t>影响</w:t>
      </w:r>
      <w:r>
        <w:rPr>
          <w:sz w:val="21"/>
        </w:rPr>
        <w:t>检查</w:t>
      </w:r>
      <w:r>
        <w:rPr>
          <w:sz w:val="21"/>
        </w:rPr>
        <w:t>，</w:t>
      </w:r>
      <w:r>
        <w:rPr>
          <w:sz w:val="21"/>
        </w:rPr>
        <w:t>测试采水单元、预处理单元和配水单元对水质测试结果的影响，其中</w:t>
      </w:r>
      <w:r>
        <w:rPr>
          <w:sz w:val="21"/>
        </w:rPr>
        <w:t>浊度大于1000NTU</w:t>
      </w:r>
      <w:r>
        <w:rPr>
          <w:sz w:val="21"/>
        </w:rPr>
        <w:t>时</w:t>
      </w:r>
      <w:r>
        <w:rPr>
          <w:sz w:val="21"/>
        </w:rPr>
        <w:t>可不</w:t>
      </w:r>
      <w:r>
        <w:rPr>
          <w:sz w:val="21"/>
        </w:rPr>
        <w:t>开展</w:t>
      </w:r>
      <w:r>
        <w:rPr>
          <w:sz w:val="21"/>
        </w:rPr>
        <w:t>集成干预检查；</w:t>
      </w:r>
    </w:p>
    <w:p>
      <w:pPr>
        <w:pStyle w:val="null3"/>
        <w:jc w:val="both"/>
      </w:pPr>
      <w:r>
        <w:rPr>
          <w:sz w:val="21"/>
        </w:rPr>
        <w:t>⑤</w:t>
      </w:r>
      <w:r>
        <w:rPr>
          <w:sz w:val="21"/>
        </w:rPr>
        <w:t>　针对</w:t>
      </w:r>
      <w:r>
        <w:rPr>
          <w:sz w:val="21"/>
        </w:rPr>
        <w:t>测试评价结果为</w:t>
      </w:r>
      <w:r>
        <w:rPr>
          <w:sz w:val="21"/>
        </w:rPr>
        <w:t>Ⅲ~劣Ⅴ类水体，高锰酸盐指数、</w:t>
      </w:r>
      <w:r>
        <w:rPr>
          <w:sz w:val="21"/>
        </w:rPr>
        <w:t>氨氮、</w:t>
      </w:r>
      <w:r>
        <w:rPr>
          <w:sz w:val="21"/>
        </w:rPr>
        <w:t>总磷</w:t>
      </w:r>
      <w:r>
        <w:rPr>
          <w:sz w:val="21"/>
        </w:rPr>
        <w:t>、</w:t>
      </w:r>
      <w:r>
        <w:rPr>
          <w:sz w:val="21"/>
        </w:rPr>
        <w:t>总氮水质自动监测仪器每月至少开展1次加标回收率测试；</w:t>
      </w:r>
    </w:p>
    <w:p>
      <w:pPr>
        <w:pStyle w:val="null3"/>
        <w:jc w:val="both"/>
      </w:pPr>
      <w:r>
        <w:rPr>
          <w:sz w:val="21"/>
        </w:rPr>
        <w:t>⑥  每季度至少开展1次实际水样比对，当水质类别发生变化时，可根据需求调整实施频次；</w:t>
      </w:r>
    </w:p>
    <w:p>
      <w:pPr>
        <w:pStyle w:val="null3"/>
        <w:jc w:val="both"/>
      </w:pPr>
      <w:r>
        <w:rPr>
          <w:sz w:val="21"/>
        </w:rPr>
        <w:t>⑦  仪器具备自动质控功能的，多点线性核查、加标回收测试等质控措施可采用自动方式开展；</w:t>
      </w:r>
    </w:p>
    <w:p>
      <w:pPr>
        <w:pStyle w:val="null3"/>
        <w:jc w:val="both"/>
      </w:pPr>
      <w:r>
        <w:rPr>
          <w:sz w:val="21"/>
        </w:rPr>
        <w:t>表1质控措施及实施频次</w:t>
      </w:r>
    </w:p>
    <w:tbl>
      <w:tblPr>
        <w:tblW w:w="0" w:type="auto"/>
        <w:tblBorders>
          <w:top w:val="none" w:color="000000" w:sz="4"/>
          <w:left w:val="none" w:color="000000" w:sz="4"/>
          <w:bottom w:val="none" w:color="000000" w:sz="4"/>
          <w:right w:val="none" w:color="000000" w:sz="4"/>
          <w:insideH w:val="none"/>
          <w:insideV w:val="none"/>
        </w:tblBorders>
      </w:tblPr>
      <w:tblGrid>
        <w:gridCol w:w="1695"/>
        <w:gridCol w:w="1185"/>
        <w:gridCol w:w="1230"/>
        <w:gridCol w:w="1440"/>
        <w:gridCol w:w="2685"/>
      </w:tblGrid>
      <w:tr>
        <w:tc>
          <w:tcPr>
            <w:tcW w:type="dxa" w:w="16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质控措施</w:t>
            </w:r>
          </w:p>
        </w:tc>
        <w:tc>
          <w:tcPr>
            <w:tcW w:type="dxa" w:w="24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水质类别</w:t>
            </w:r>
          </w:p>
        </w:tc>
        <w:tc>
          <w:tcPr>
            <w:tcW w:type="dxa" w:w="14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质控频次</w:t>
            </w:r>
          </w:p>
        </w:tc>
        <w:tc>
          <w:tcPr>
            <w:tcW w:type="dxa" w:w="26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实施对象</w:t>
            </w:r>
          </w:p>
        </w:tc>
      </w:tr>
      <w:tr>
        <w:tc>
          <w:tcPr>
            <w:tcW w:type="dxa" w:w="1695"/>
            <w:vMerge/>
            <w:tcBorders>
              <w:top w:val="single" w:color="000000" w:sz="4"/>
              <w:left w:val="single" w:color="000000" w:sz="4"/>
              <w:bottom w:val="single" w:color="000000" w:sz="4"/>
              <w:right w:val="single" w:color="000000" w:sz="4"/>
            </w:tcBorders>
          </w:tcP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Ⅰ~Ⅱ类水体</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Ⅲ~劣Ⅴ类水体</w:t>
            </w:r>
          </w:p>
        </w:tc>
        <w:tc>
          <w:tcPr>
            <w:tcW w:type="dxa" w:w="1440"/>
            <w:vMerge/>
            <w:tcBorders>
              <w:top w:val="single" w:color="000000" w:sz="4"/>
              <w:left w:val="none" w:color="000000" w:sz="4"/>
              <w:bottom w:val="single" w:color="000000" w:sz="4"/>
              <w:right w:val="single" w:color="000000" w:sz="4"/>
            </w:tcBorders>
          </w:tcPr>
          <w:p/>
        </w:tc>
        <w:tc>
          <w:tcPr>
            <w:tcW w:type="dxa" w:w="2685"/>
            <w:vMerge/>
            <w:tcBorders>
              <w:top w:val="single" w:color="000000" w:sz="4"/>
              <w:left w:val="none" w:color="000000" w:sz="4"/>
              <w:bottom w:val="single" w:color="000000" w:sz="4"/>
              <w:right w:val="single" w:color="000000" w:sz="4"/>
            </w:tcBorders>
          </w:tcP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低浓度样品</w:t>
            </w:r>
            <w:r>
              <w:rPr>
                <w:sz w:val="21"/>
              </w:rPr>
              <w:t>核查</w:t>
            </w:r>
            <w:r>
              <w:rPr>
                <w:sz w:val="21"/>
              </w:rPr>
              <w:t>/低浓度漂移</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1次/24h</w:t>
            </w:r>
          </w:p>
        </w:tc>
        <w:tc>
          <w:tcPr>
            <w:tcW w:type="dxa" w:w="268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高浓度样品</w:t>
            </w:r>
            <w:r>
              <w:rPr>
                <w:sz w:val="21"/>
              </w:rPr>
              <w:t>核查</w:t>
            </w:r>
            <w:r>
              <w:rPr>
                <w:sz w:val="21"/>
              </w:rPr>
              <w:t>/高浓度漂移</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1次/24h</w:t>
            </w:r>
          </w:p>
        </w:tc>
        <w:tc>
          <w:tcPr>
            <w:tcW w:type="dxa" w:w="2685"/>
            <w:vMerge/>
            <w:tcBorders>
              <w:top w:val="none" w:color="000000" w:sz="4"/>
              <w:left w:val="none" w:color="000000" w:sz="4"/>
              <w:bottom w:val="none" w:color="000000" w:sz="4"/>
              <w:right w:val="single" w:color="000000" w:sz="4"/>
            </w:tcBorders>
          </w:tcP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标样核查</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1次/7d</w:t>
            </w:r>
          </w:p>
          <w:p>
            <w:pPr>
              <w:pStyle w:val="null3"/>
              <w:jc w:val="center"/>
            </w:pPr>
            <w:r>
              <w:rPr>
                <w:sz w:val="19"/>
              </w:rPr>
              <w:t xml:space="preserve"> </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pH、溶解氧、电导率、浊度</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多点线性核查</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1次/月</w:t>
            </w:r>
          </w:p>
          <w:p>
            <w:pPr>
              <w:pStyle w:val="null3"/>
              <w:jc w:val="center"/>
            </w:pPr>
            <w:r>
              <w:rPr>
                <w:sz w:val="19"/>
              </w:rPr>
              <w:t xml:space="preserve"> </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1次/季度</w:t>
            </w:r>
          </w:p>
          <w:p>
            <w:pPr>
              <w:pStyle w:val="null3"/>
              <w:jc w:val="center"/>
            </w:pPr>
            <w:r>
              <w:rPr>
                <w:sz w:val="19"/>
              </w:rPr>
              <w:t xml:space="preserve"> </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常规五参数、氨氮、高锰酸盐指数、总磷</w:t>
            </w:r>
            <w:r>
              <w:rPr>
                <w:sz w:val="21"/>
              </w:rPr>
              <w:t>、</w:t>
            </w:r>
            <w:r>
              <w:rPr>
                <w:sz w:val="21"/>
              </w:rPr>
              <w:t>总氮</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w:t>
            </w:r>
            <w:r>
              <w:rPr>
                <w:sz w:val="21"/>
              </w:rPr>
              <w:t>影响检查</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1次/月</w:t>
            </w:r>
          </w:p>
          <w:p>
            <w:pPr>
              <w:pStyle w:val="null3"/>
              <w:jc w:val="center"/>
            </w:pPr>
            <w:r>
              <w:rPr>
                <w:sz w:val="19"/>
              </w:rPr>
              <w:t xml:space="preserve"> </w:t>
            </w:r>
          </w:p>
        </w:tc>
        <w:tc>
          <w:tcPr>
            <w:tcW w:type="dxa" w:w="2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加标回收率自动测试</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1次/月</w:t>
            </w:r>
          </w:p>
          <w:p>
            <w:pPr>
              <w:pStyle w:val="null3"/>
              <w:jc w:val="center"/>
            </w:pPr>
            <w:r>
              <w:rPr>
                <w:sz w:val="19"/>
              </w:rPr>
              <w:t xml:space="preserve"> </w:t>
            </w:r>
          </w:p>
        </w:tc>
        <w:tc>
          <w:tcPr>
            <w:tcW w:type="dxa" w:w="2685"/>
            <w:vMerge/>
            <w:tcBorders>
              <w:top w:val="none" w:color="000000" w:sz="4"/>
              <w:left w:val="none" w:color="000000" w:sz="4"/>
              <w:bottom w:val="single" w:color="000000" w:sz="4"/>
              <w:right w:val="single" w:color="000000" w:sz="4"/>
            </w:tcBorders>
          </w:tcPr>
          <w:p/>
        </w:tc>
      </w:tr>
    </w:tbl>
    <w:p>
      <w:pPr>
        <w:pStyle w:val="null3"/>
      </w:pPr>
      <w:r>
        <w:rPr/>
        <w:t xml:space="preserve"> </w:t>
      </w:r>
    </w:p>
    <w:p>
      <w:pPr>
        <w:pStyle w:val="null3"/>
        <w:jc w:val="both"/>
      </w:pPr>
      <w:r>
        <w:rPr>
          <w:sz w:val="21"/>
        </w:rPr>
        <w:t>2</w:t>
      </w:r>
      <w:r>
        <w:rPr>
          <w:sz w:val="21"/>
        </w:rPr>
        <w:t>）</w:t>
      </w:r>
      <w:r>
        <w:rPr>
          <w:sz w:val="21"/>
        </w:rPr>
        <w:t>维护后质控措施实施要求</w:t>
      </w:r>
    </w:p>
    <w:p>
      <w:pPr>
        <w:pStyle w:val="null3"/>
        <w:jc w:val="both"/>
      </w:pPr>
      <w:r>
        <w:rPr>
          <w:sz w:val="21"/>
        </w:rPr>
        <w:t>①　更换试剂（清洗水除外）后，应进行校准；</w:t>
      </w:r>
    </w:p>
    <w:p>
      <w:pPr>
        <w:pStyle w:val="null3"/>
        <w:jc w:val="both"/>
      </w:pPr>
      <w:r>
        <w:rPr>
          <w:sz w:val="21"/>
        </w:rPr>
        <w:t>②　当监测仪器关键部件更换后，应进行多点线性核查，必要时应开展实际水样比对；</w:t>
      </w:r>
    </w:p>
    <w:p>
      <w:pPr>
        <w:pStyle w:val="null3"/>
        <w:jc w:val="both"/>
      </w:pPr>
      <w:r>
        <w:rPr>
          <w:sz w:val="21"/>
        </w:rPr>
        <w:t>③　当监测仪器长时间停机恢复运行时应进行多点线性核查和集成干预检查。</w:t>
      </w:r>
    </w:p>
    <w:p>
      <w:pPr>
        <w:pStyle w:val="null3"/>
        <w:jc w:val="both"/>
      </w:pPr>
      <w:r>
        <w:rPr>
          <w:sz w:val="21"/>
        </w:rPr>
        <w:t>3</w:t>
      </w:r>
      <w:r>
        <w:rPr>
          <w:sz w:val="21"/>
        </w:rPr>
        <w:t>）其他</w:t>
      </w:r>
      <w:r>
        <w:rPr>
          <w:sz w:val="21"/>
        </w:rPr>
        <w:t>质控要求</w:t>
      </w:r>
    </w:p>
    <w:p>
      <w:pPr>
        <w:pStyle w:val="null3"/>
        <w:jc w:val="both"/>
      </w:pPr>
      <w:r>
        <w:rPr>
          <w:sz w:val="21"/>
        </w:rPr>
        <w:t>①pH</w:t>
      </w:r>
      <w:r>
        <w:rPr>
          <w:sz w:val="21"/>
        </w:rPr>
        <w:t>、</w:t>
      </w:r>
      <w:r>
        <w:rPr>
          <w:sz w:val="21"/>
        </w:rPr>
        <w:t>溶解氧、电导率、浊度水质自动监测仪器使用标准溶液开展期间标样核查</w:t>
      </w:r>
      <w:r>
        <w:rPr>
          <w:sz w:val="21"/>
        </w:rPr>
        <w:t>；</w:t>
      </w:r>
    </w:p>
    <w:p>
      <w:pPr>
        <w:pStyle w:val="null3"/>
        <w:jc w:val="both"/>
      </w:pPr>
      <w:r>
        <w:rPr>
          <w:sz w:val="21"/>
        </w:rPr>
        <w:t>②溶解氧</w:t>
      </w:r>
      <w:r>
        <w:rPr>
          <w:sz w:val="21"/>
        </w:rPr>
        <w:t>每月采用空气中饱和溶解氧或无氧水核查，且每月至少涵盖一次空气中饱和溶解氧和无氧水核查</w:t>
      </w:r>
      <w:r>
        <w:rPr>
          <w:sz w:val="21"/>
        </w:rPr>
        <w:t>；</w:t>
      </w:r>
    </w:p>
    <w:p>
      <w:pPr>
        <w:pStyle w:val="null3"/>
        <w:jc w:val="both"/>
      </w:pPr>
      <w:r>
        <w:rPr>
          <w:sz w:val="21"/>
        </w:rPr>
        <w:t>③</w:t>
      </w:r>
      <w:r>
        <w:rPr>
          <w:sz w:val="21"/>
        </w:rPr>
        <w:t>pH、</w:t>
      </w:r>
      <w:r>
        <w:rPr>
          <w:sz w:val="21"/>
        </w:rPr>
        <w:t>电导率和浊度每月应采用与监测断面水质监测项目</w:t>
      </w:r>
      <w:r>
        <w:rPr>
          <w:sz w:val="21"/>
        </w:rPr>
        <w:t>测定结果</w:t>
      </w:r>
      <w:r>
        <w:rPr>
          <w:sz w:val="21"/>
        </w:rPr>
        <w:t>相接近的标准溶液</w:t>
      </w:r>
      <w:r>
        <w:rPr>
          <w:sz w:val="21"/>
        </w:rPr>
        <w:t>开展核查，每月应至少更换2个不同标准值的标准溶液</w:t>
      </w:r>
      <w:r>
        <w:rPr>
          <w:sz w:val="21"/>
        </w:rPr>
        <w:t>；</w:t>
      </w:r>
    </w:p>
    <w:p>
      <w:pPr>
        <w:pStyle w:val="null3"/>
        <w:jc w:val="both"/>
      </w:pPr>
      <w:r>
        <w:rPr>
          <w:sz w:val="21"/>
        </w:rPr>
        <w:t>④　当水站相关质控测试结果接近质控要求限值时应及时进行预防性维护；</w:t>
      </w:r>
    </w:p>
    <w:p>
      <w:pPr>
        <w:pStyle w:val="null3"/>
        <w:jc w:val="both"/>
      </w:pPr>
      <w:r>
        <w:rPr>
          <w:sz w:val="21"/>
        </w:rPr>
        <w:t>⑤　多点线性核查未通过时，维护后应先</w:t>
      </w:r>
      <w:r>
        <w:rPr>
          <w:sz w:val="21"/>
        </w:rPr>
        <w:t>开展低浓度和高浓度的标样核查</w:t>
      </w:r>
      <w:r>
        <w:rPr>
          <w:sz w:val="21"/>
        </w:rPr>
        <w:t>，通过后再进行多点线性核查；</w:t>
      </w:r>
    </w:p>
    <w:p>
      <w:pPr>
        <w:pStyle w:val="null3"/>
        <w:jc w:val="both"/>
      </w:pPr>
      <w:r>
        <w:rPr>
          <w:sz w:val="21"/>
        </w:rPr>
        <w:t>⑥　集成干预检查、实际水样比对未通过时，应进一步排查原因，直至核查通过；</w:t>
      </w:r>
    </w:p>
    <w:p>
      <w:pPr>
        <w:pStyle w:val="null3"/>
        <w:jc w:val="both"/>
      </w:pPr>
      <w:r>
        <w:rPr>
          <w:sz w:val="21"/>
        </w:rPr>
        <w:t>⑦　</w:t>
      </w:r>
      <w:r>
        <w:rPr>
          <w:sz w:val="21"/>
        </w:rPr>
        <w:t>更换试剂（清洗用水、检查用标准样品除外）后，应至少使用两个不同浓度的校正液进行校正；当监测仪器关键部件更换后，应开展多点线性核查，必要时应开展实际水样比对；</w:t>
      </w:r>
    </w:p>
    <w:p>
      <w:pPr>
        <w:pStyle w:val="null3"/>
        <w:jc w:val="both"/>
      </w:pPr>
      <w:r>
        <w:rPr>
          <w:sz w:val="21"/>
        </w:rPr>
        <w:t>⑧ 停运后恢复到运行条件时应开展标样核查，并对监测数据进行分析，水质环比停运前变化较大的，还应进行实际水样比对；</w:t>
      </w:r>
    </w:p>
    <w:p>
      <w:pPr>
        <w:pStyle w:val="null3"/>
        <w:jc w:val="both"/>
      </w:pPr>
      <w:r>
        <w:rPr>
          <w:sz w:val="21"/>
        </w:rPr>
        <w:t>⑨ 所有质控测试均应形成记录；</w:t>
      </w:r>
    </w:p>
    <w:p>
      <w:pPr>
        <w:pStyle w:val="null3"/>
        <w:jc w:val="both"/>
      </w:pPr>
      <w:r>
        <w:rPr>
          <w:sz w:val="21"/>
        </w:rPr>
        <w:t xml:space="preserve">⑨ </w:t>
      </w:r>
      <w:r>
        <w:rPr>
          <w:sz w:val="21"/>
        </w:rPr>
        <w:t>每月对备机进行一次标样核查，标样核查结果应上传平台；</w:t>
      </w:r>
    </w:p>
    <w:p>
      <w:pPr>
        <w:pStyle w:val="null3"/>
        <w:jc w:val="both"/>
      </w:pPr>
      <w:r>
        <w:rPr>
          <w:sz w:val="21"/>
        </w:rPr>
        <w:t>⑩关键参数（斜率、截距、消解温度等能表征监测过程及对监测结果产生影响的参数）和运行日志（采样、分析、数据传输等能表征监测过程的记录）不得随意更改，如确需变更，应履行审核手续。</w:t>
      </w:r>
    </w:p>
    <w:p>
      <w:pPr>
        <w:pStyle w:val="null3"/>
        <w:jc w:val="both"/>
      </w:pPr>
      <w:r>
        <w:rPr>
          <w:sz w:val="21"/>
        </w:rPr>
        <w:t>⑪</w:t>
      </w:r>
      <w:r>
        <w:rPr>
          <w:sz w:val="21"/>
        </w:rPr>
        <w:t>　监测仪器不允许屏蔽负值；</w:t>
      </w:r>
    </w:p>
    <w:p>
      <w:pPr>
        <w:pStyle w:val="null3"/>
        <w:jc w:val="both"/>
      </w:pPr>
      <w:r>
        <w:rPr>
          <w:sz w:val="21"/>
        </w:rPr>
        <w:t>（</w:t>
      </w:r>
      <w:r>
        <w:rPr>
          <w:sz w:val="21"/>
        </w:rPr>
        <w:t>4</w:t>
      </w:r>
      <w:r>
        <w:rPr>
          <w:sz w:val="21"/>
        </w:rPr>
        <w:t>）</w:t>
      </w:r>
      <w:r>
        <w:rPr>
          <w:sz w:val="21"/>
        </w:rPr>
        <w:t>质控措施技术要求</w:t>
      </w:r>
    </w:p>
    <w:p>
      <w:pPr>
        <w:pStyle w:val="null3"/>
        <w:jc w:val="both"/>
      </w:pPr>
      <w:r>
        <w:rPr>
          <w:sz w:val="21"/>
        </w:rPr>
        <w:t>1</w:t>
      </w:r>
      <w:r>
        <w:rPr>
          <w:sz w:val="21"/>
        </w:rPr>
        <w:t>）</w:t>
      </w:r>
      <w:r>
        <w:rPr>
          <w:sz w:val="21"/>
        </w:rPr>
        <w:t>氨氮、高锰酸盐指数、总磷</w:t>
      </w:r>
      <w:r>
        <w:rPr>
          <w:sz w:val="21"/>
        </w:rPr>
        <w:t>、</w:t>
      </w:r>
      <w:r>
        <w:rPr>
          <w:sz w:val="21"/>
        </w:rPr>
        <w:t>总氮</w:t>
      </w:r>
      <w:r>
        <w:rPr>
          <w:sz w:val="21"/>
        </w:rPr>
        <w:t>质控措施技术要求</w:t>
      </w:r>
    </w:p>
    <w:p>
      <w:pPr>
        <w:pStyle w:val="null3"/>
        <w:jc w:val="both"/>
      </w:pPr>
      <w:r>
        <w:rPr>
          <w:sz w:val="21"/>
        </w:rPr>
        <w:t>氨氮、高锰酸盐指数、总磷</w:t>
      </w:r>
      <w:r>
        <w:rPr>
          <w:sz w:val="21"/>
        </w:rPr>
        <w:t>、</w:t>
      </w:r>
      <w:r>
        <w:rPr>
          <w:sz w:val="21"/>
        </w:rPr>
        <w:t>总氮低浓度标样</w:t>
      </w:r>
      <w:r>
        <w:rPr>
          <w:sz w:val="21"/>
        </w:rPr>
        <w:t>核查、24小时</w:t>
      </w:r>
      <w:r>
        <w:rPr>
          <w:sz w:val="21"/>
        </w:rPr>
        <w:t>低浓度</w:t>
      </w:r>
      <w:r>
        <w:rPr>
          <w:sz w:val="21"/>
        </w:rPr>
        <w:t>漂移、</w:t>
      </w:r>
      <w:r>
        <w:rPr>
          <w:sz w:val="21"/>
        </w:rPr>
        <w:t>高浓度标样</w:t>
      </w:r>
      <w:r>
        <w:rPr>
          <w:sz w:val="21"/>
        </w:rPr>
        <w:t>核查、24小时</w:t>
      </w:r>
      <w:r>
        <w:rPr>
          <w:sz w:val="21"/>
        </w:rPr>
        <w:t>高浓度</w:t>
      </w:r>
      <w:r>
        <w:rPr>
          <w:sz w:val="21"/>
        </w:rPr>
        <w:t>漂移、多点线性核查、加标回收率测试、集成</w:t>
      </w:r>
      <w:r>
        <w:rPr>
          <w:sz w:val="21"/>
        </w:rPr>
        <w:t>影响</w:t>
      </w:r>
      <w:r>
        <w:rPr>
          <w:sz w:val="21"/>
        </w:rPr>
        <w:t>检查、实际水样比对应满足表2要求。</w:t>
      </w:r>
    </w:p>
    <w:p>
      <w:pPr>
        <w:pStyle w:val="null3"/>
        <w:jc w:val="both"/>
      </w:pPr>
      <w:r>
        <w:rPr>
          <w:sz w:val="21"/>
        </w:rPr>
        <w:t>表2氨氮、高锰酸盐指数、总磷</w:t>
      </w:r>
      <w:r>
        <w:rPr>
          <w:sz w:val="21"/>
        </w:rPr>
        <w:t>、</w:t>
      </w:r>
      <w:r>
        <w:rPr>
          <w:sz w:val="21"/>
        </w:rPr>
        <w:t>总氮</w:t>
      </w:r>
      <w:r>
        <w:rPr>
          <w:sz w:val="21"/>
        </w:rPr>
        <w:t>质控措施技术要求</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25"/>
        <w:gridCol w:w="630"/>
        <w:gridCol w:w="15"/>
        <w:gridCol w:w="1140"/>
        <w:gridCol w:w="600"/>
        <w:gridCol w:w="705"/>
        <w:gridCol w:w="990"/>
        <w:gridCol w:w="2415"/>
        <w:gridCol w:w="975"/>
      </w:tblGrid>
      <w:tr>
        <w:tc>
          <w:tcPr>
            <w:tcW w:type="dxa" w:w="1155"/>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质控措施</w:t>
            </w:r>
          </w:p>
        </w:tc>
        <w:tc>
          <w:tcPr>
            <w:tcW w:type="dxa" w:w="345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c>
          <w:tcPr>
            <w:tcW w:type="dxa" w:w="2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检测方法</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155"/>
            <w:gridSpan w:val="2"/>
            <w:vMerge/>
            <w:tcBorders>
              <w:top w:val="single" w:color="000000" w:sz="4"/>
              <w:left w:val="single" w:color="000000" w:sz="4"/>
              <w:bottom w:val="single" w:color="000000" w:sz="4"/>
              <w:right w:val="single" w:color="000000" w:sz="4"/>
            </w:tcBorders>
          </w:tcPr>
          <w:p/>
        </w:tc>
        <w:tc>
          <w:tcPr>
            <w:tcW w:type="dxa" w:w="11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w:t>
            </w:r>
          </w:p>
        </w:tc>
        <w:tc>
          <w:tcPr>
            <w:tcW w:type="dxa" w:w="2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低浓度标样</w:t>
            </w:r>
            <w:r>
              <w:rPr>
                <w:sz w:val="21"/>
              </w:rPr>
              <w:t>核查</w:t>
            </w:r>
          </w:p>
        </w:tc>
        <w:tc>
          <w:tcPr>
            <w:tcW w:type="dxa" w:w="6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Ⅰ~Ⅲ类水体</w:t>
            </w:r>
          </w:p>
        </w:tc>
        <w:tc>
          <w:tcPr>
            <w:tcW w:type="dxa" w:w="1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±1.0mg/L</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±0.2mg/L</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±0.02mg/L</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3</w:t>
            </w:r>
            <w:r>
              <w:rPr>
                <w:sz w:val="21"/>
              </w:rPr>
              <w:t>mg/L</w:t>
            </w:r>
          </w:p>
        </w:tc>
        <w:tc>
          <w:tcPr>
            <w:tcW w:type="dxa" w:w="2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》附录A.1</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5"/>
            <w:vMerge/>
            <w:tcBorders>
              <w:top w:val="none" w:color="000000" w:sz="4"/>
              <w:left w:val="single" w:color="000000" w:sz="4"/>
              <w:bottom w:val="single" w:color="000000" w:sz="4"/>
              <w:right w:val="single" w:color="000000" w:sz="4"/>
            </w:tcBorders>
          </w:tcPr>
          <w:p/>
        </w:tc>
        <w:tc>
          <w:tcPr>
            <w:tcW w:type="dxa" w:w="6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Ⅳ~劣Ⅴ类水体</w:t>
            </w:r>
          </w:p>
        </w:tc>
        <w:tc>
          <w:tcPr>
            <w:tcW w:type="dxa" w:w="343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±5%FS</w:t>
            </w:r>
          </w:p>
        </w:tc>
        <w:tc>
          <w:tcPr>
            <w:tcW w:type="dxa" w:w="2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 小时</w:t>
            </w:r>
            <w:r>
              <w:rPr>
                <w:sz w:val="21"/>
              </w:rPr>
              <w:t>低浓度</w:t>
            </w:r>
            <w:r>
              <w:rPr>
                <w:sz w:val="21"/>
              </w:rPr>
              <w:t>漂移</w:t>
            </w:r>
          </w:p>
        </w:tc>
        <w:tc>
          <w:tcPr>
            <w:tcW w:type="dxa" w:w="11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29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w:t>
            </w:r>
            <w:r>
              <w:rPr>
                <w:sz w:val="21"/>
              </w:rPr>
              <w:t>A.1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高浓度标样</w:t>
            </w:r>
            <w:r>
              <w:rPr>
                <w:sz w:val="21"/>
              </w:rPr>
              <w:t>核查</w:t>
            </w:r>
          </w:p>
        </w:tc>
        <w:tc>
          <w:tcPr>
            <w:tcW w:type="dxa" w:w="34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w:t>
            </w:r>
            <w:r>
              <w:rPr>
                <w:sz w:val="21"/>
              </w:rPr>
              <w:t>A.2</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 小时跨度漂移</w:t>
            </w:r>
          </w:p>
        </w:tc>
        <w:tc>
          <w:tcPr>
            <w:tcW w:type="dxa" w:w="34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w:t>
            </w:r>
            <w:r>
              <w:rPr>
                <w:sz w:val="21"/>
              </w:rPr>
              <w:t>A.2</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多点线性核查</w:t>
            </w:r>
          </w:p>
        </w:tc>
        <w:tc>
          <w:tcPr>
            <w:tcW w:type="dxa" w:w="17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相关系数r</w:t>
            </w:r>
          </w:p>
        </w:tc>
        <w:tc>
          <w:tcPr>
            <w:tcW w:type="dxa" w:w="16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≥0.98</w:t>
            </w:r>
          </w:p>
        </w:tc>
        <w:tc>
          <w:tcPr>
            <w:tcW w:type="dxa" w:w="2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w:t>
            </w:r>
            <w:r>
              <w:rPr>
                <w:sz w:val="21"/>
              </w:rPr>
              <w:t>A.4</w:t>
            </w:r>
          </w:p>
        </w:tc>
        <w:tc>
          <w:tcPr>
            <w:tcW w:type="dxa" w:w="9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可使用当日日质控测试结果且在当日完成</w:t>
            </w:r>
          </w:p>
        </w:tc>
      </w:tr>
      <w:tr>
        <w:tc>
          <w:tcPr>
            <w:tcW w:type="dxa" w:w="1155"/>
            <w:gridSpan w:val="2"/>
            <w:vMerge/>
            <w:tcBorders>
              <w:top w:val="none" w:color="000000" w:sz="4"/>
              <w:left w:val="single" w:color="000000" w:sz="4"/>
              <w:bottom w:val="single" w:color="000000" w:sz="4"/>
              <w:right w:val="single" w:color="000000" w:sz="4"/>
            </w:tcBorders>
          </w:tcPr>
          <w:p/>
        </w:tc>
        <w:tc>
          <w:tcPr>
            <w:tcW w:type="dxa" w:w="17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w:t>
            </w:r>
            <w:r>
              <w:rPr>
                <w:sz w:val="21"/>
              </w:rPr>
              <w:t>误差（浓度</w:t>
            </w:r>
          </w:p>
          <w:p>
            <w:pPr>
              <w:pStyle w:val="null3"/>
              <w:jc w:val="center"/>
            </w:pPr>
            <w:r>
              <w:rPr>
                <w:sz w:val="21"/>
              </w:rPr>
              <w:t>＞20%FS）</w:t>
            </w:r>
          </w:p>
        </w:tc>
        <w:tc>
          <w:tcPr>
            <w:tcW w:type="dxa" w:w="16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55"/>
            <w:gridSpan w:val="2"/>
            <w:vMerge/>
            <w:tcBorders>
              <w:top w:val="none" w:color="000000" w:sz="4"/>
              <w:left w:val="single" w:color="000000" w:sz="4"/>
              <w:bottom w:val="single" w:color="000000" w:sz="4"/>
              <w:right w:val="single" w:color="000000" w:sz="4"/>
            </w:tcBorders>
          </w:tcPr>
          <w:p/>
        </w:tc>
        <w:tc>
          <w:tcPr>
            <w:tcW w:type="dxa" w:w="17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绝对</w:t>
            </w:r>
            <w:r>
              <w:rPr>
                <w:sz w:val="21"/>
              </w:rPr>
              <w:t>误差（浓度</w:t>
            </w:r>
          </w:p>
          <w:p>
            <w:pPr>
              <w:pStyle w:val="null3"/>
              <w:jc w:val="center"/>
            </w:pPr>
            <w:r>
              <w:rPr>
                <w:sz w:val="21"/>
              </w:rPr>
              <w:t>≤20% FS）</w:t>
            </w:r>
          </w:p>
        </w:tc>
        <w:tc>
          <w:tcPr>
            <w:tcW w:type="dxa" w:w="16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参照</w:t>
            </w:r>
            <w:r>
              <w:rPr>
                <w:sz w:val="21"/>
              </w:rPr>
              <w:t>低浓度</w:t>
            </w:r>
            <w:r>
              <w:rPr>
                <w:sz w:val="21"/>
              </w:rPr>
              <w:t>核查要求</w:t>
            </w:r>
          </w:p>
        </w:tc>
      </w:tr>
      <w:tr>
        <w:tc>
          <w:tcPr>
            <w:tcW w:type="dxa" w:w="115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c>
          <w:tcPr>
            <w:tcW w:type="dxa" w:w="17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Cx</w:t>
            </w:r>
            <w:r>
              <w:rPr>
                <w:sz w:val="21"/>
              </w:rPr>
              <w:t xml:space="preserve">&gt; </w:t>
            </w:r>
            <w:r>
              <w:rPr>
                <w:sz w:val="21"/>
                <w:i/>
              </w:rPr>
              <w:t>B</w:t>
            </w:r>
            <w:r>
              <w:rPr>
                <w:sz w:val="21"/>
              </w:rPr>
              <w:t>Ⅳ</w:t>
            </w:r>
          </w:p>
        </w:tc>
        <w:tc>
          <w:tcPr>
            <w:tcW w:type="dxa" w:w="16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相对误差≤20%</w:t>
            </w:r>
          </w:p>
        </w:tc>
        <w:tc>
          <w:tcPr>
            <w:tcW w:type="dxa" w:w="2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w:t>
            </w:r>
            <w:r>
              <w:rPr>
                <w:sz w:val="21"/>
              </w:rPr>
              <w:t>A.7</w:t>
            </w:r>
          </w:p>
        </w:tc>
        <w:tc>
          <w:tcPr>
            <w:tcW w:type="dxa" w:w="9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gridSpan w:val="2"/>
            <w:vMerge/>
            <w:tcBorders>
              <w:top w:val="none" w:color="000000" w:sz="4"/>
              <w:left w:val="single" w:color="000000" w:sz="4"/>
              <w:bottom w:val="single" w:color="000000" w:sz="4"/>
              <w:right w:val="single" w:color="000000" w:sz="4"/>
            </w:tcBorders>
          </w:tcPr>
          <w:p/>
        </w:tc>
        <w:tc>
          <w:tcPr>
            <w:tcW w:type="dxa" w:w="17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B</w:t>
            </w:r>
            <w:r>
              <w:rPr>
                <w:sz w:val="21"/>
              </w:rPr>
              <w:t xml:space="preserve">Ⅱ&lt; </w:t>
            </w:r>
            <w:r>
              <w:rPr>
                <w:sz w:val="21"/>
                <w:i/>
              </w:rPr>
              <w:t>Cx</w:t>
            </w:r>
            <w:r>
              <w:rPr>
                <w:sz w:val="21"/>
              </w:rPr>
              <w:t xml:space="preserve">£ </w:t>
            </w:r>
            <w:r>
              <w:rPr>
                <w:sz w:val="21"/>
                <w:i/>
              </w:rPr>
              <w:t>B</w:t>
            </w:r>
            <w:r>
              <w:rPr>
                <w:sz w:val="21"/>
              </w:rPr>
              <w:t>Ⅳ</w:t>
            </w:r>
          </w:p>
        </w:tc>
        <w:tc>
          <w:tcPr>
            <w:tcW w:type="dxa" w:w="16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相对误差≤30%</w:t>
            </w:r>
          </w:p>
        </w:tc>
      </w:tr>
      <w:tr>
        <w:tc>
          <w:tcPr>
            <w:tcW w:type="dxa" w:w="1155"/>
            <w:gridSpan w:val="2"/>
            <w:vMerge/>
            <w:tcBorders>
              <w:top w:val="none" w:color="000000" w:sz="4"/>
              <w:left w:val="single" w:color="000000" w:sz="4"/>
              <w:bottom w:val="single" w:color="000000" w:sz="4"/>
              <w:right w:val="single" w:color="000000" w:sz="4"/>
            </w:tcBorders>
          </w:tcPr>
          <w:p/>
        </w:tc>
        <w:tc>
          <w:tcPr>
            <w:tcW w:type="dxa" w:w="17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Cx</w:t>
            </w:r>
            <w:r>
              <w:rPr>
                <w:sz w:val="21"/>
              </w:rPr>
              <w:t xml:space="preserve">£ </w:t>
            </w:r>
            <w:r>
              <w:rPr>
                <w:sz w:val="21"/>
                <w:i/>
              </w:rPr>
              <w:t>B</w:t>
            </w:r>
            <w:r>
              <w:rPr>
                <w:sz w:val="21"/>
              </w:rPr>
              <w:t>Ⅱ</w:t>
            </w:r>
          </w:p>
        </w:tc>
        <w:tc>
          <w:tcPr>
            <w:tcW w:type="dxa" w:w="1695"/>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相对误差≤40%</w:t>
            </w:r>
          </w:p>
        </w:tc>
      </w:tr>
      <w:tr>
        <w:tc>
          <w:tcPr>
            <w:tcW w:type="dxa" w:w="1155"/>
            <w:gridSpan w:val="2"/>
            <w:vMerge/>
            <w:tcBorders>
              <w:top w:val="none" w:color="000000" w:sz="4"/>
              <w:left w:val="single" w:color="000000" w:sz="4"/>
              <w:bottom w:val="single" w:color="000000" w:sz="4"/>
              <w:right w:val="single" w:color="000000" w:sz="4"/>
            </w:tcBorders>
          </w:tcPr>
          <w:p/>
        </w:tc>
        <w:tc>
          <w:tcPr>
            <w:tcW w:type="dxa" w:w="34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当自动监测结果和实验室分析结果均低于BⅡ时，认定比对实验结果合格。</w:t>
            </w:r>
          </w:p>
          <w:p>
            <w:pPr>
              <w:pStyle w:val="null3"/>
              <w:jc w:val="center"/>
            </w:pPr>
            <w:r>
              <w:rPr>
                <w:sz w:val="21"/>
              </w:rPr>
              <w:t>注：①</w:t>
            </w:r>
            <w:r>
              <w:rPr>
                <w:sz w:val="21"/>
                <w:i/>
              </w:rPr>
              <w:t>Cx</w:t>
            </w:r>
            <w:r>
              <w:rPr>
                <w:sz w:val="21"/>
              </w:rPr>
              <w:t>为实验室分析结果；</w:t>
            </w:r>
          </w:p>
          <w:p>
            <w:pPr>
              <w:pStyle w:val="null3"/>
              <w:jc w:val="center"/>
            </w:pPr>
            <w:r>
              <w:rPr>
                <w:sz w:val="21"/>
              </w:rPr>
              <w:t>②B 为《地表水环境质量标准》（GB 3838-2002）规定的水质类别限值；</w:t>
            </w:r>
          </w:p>
        </w:tc>
      </w:tr>
      <w:tr>
        <w:tc>
          <w:tcPr>
            <w:tcW w:type="dxa" w:w="11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加标回收率自动测试</w:t>
            </w:r>
          </w:p>
        </w:tc>
        <w:tc>
          <w:tcPr>
            <w:tcW w:type="dxa" w:w="34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80%~120%</w:t>
            </w:r>
          </w:p>
        </w:tc>
        <w:tc>
          <w:tcPr>
            <w:tcW w:type="dxa" w:w="2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w:t>
            </w:r>
            <w:r>
              <w:rPr>
                <w:sz w:val="21"/>
              </w:rPr>
              <w:t>A.5</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w:t>
            </w:r>
            <w:r>
              <w:rPr>
                <w:sz w:val="21"/>
              </w:rPr>
              <w:t>影响</w:t>
            </w:r>
            <w:r>
              <w:rPr>
                <w:sz w:val="21"/>
              </w:rPr>
              <w:t>检查</w:t>
            </w:r>
          </w:p>
        </w:tc>
        <w:tc>
          <w:tcPr>
            <w:tcW w:type="dxa" w:w="34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w:t>
            </w:r>
            <w:r>
              <w:rPr>
                <w:sz w:val="21"/>
              </w:rPr>
              <w:t>A.6</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jc w:val="both"/>
      </w:pPr>
      <w:r>
        <w:rPr>
          <w:sz w:val="21"/>
        </w:rPr>
        <w:t>2</w:t>
      </w:r>
      <w:r>
        <w:rPr>
          <w:sz w:val="21"/>
        </w:rPr>
        <w:t>）</w:t>
      </w:r>
      <w:r>
        <w:rPr>
          <w:sz w:val="21"/>
        </w:rPr>
        <w:t>常规五参数质控措施实施要求</w:t>
      </w:r>
    </w:p>
    <w:p>
      <w:pPr>
        <w:pStyle w:val="null3"/>
        <w:jc w:val="both"/>
      </w:pPr>
      <w:r>
        <w:rPr>
          <w:sz w:val="21"/>
        </w:rPr>
        <w:t>常规五参数每周开展的标准溶液考核和每月开展的实际水样比对应满足表3要求。</w:t>
      </w:r>
    </w:p>
    <w:p>
      <w:pPr>
        <w:pStyle w:val="null3"/>
        <w:jc w:val="both"/>
      </w:pPr>
      <w:r>
        <w:rPr>
          <w:sz w:val="21"/>
        </w:rPr>
        <w:t>表3常规五参数质控措施要求</w:t>
      </w:r>
    </w:p>
    <w:tbl>
      <w:tblPr>
        <w:tblW w:w="0" w:type="auto"/>
        <w:tblBorders>
          <w:top w:val="none" w:color="000000" w:sz="4"/>
          <w:left w:val="none" w:color="000000" w:sz="4"/>
          <w:bottom w:val="none" w:color="000000" w:sz="4"/>
          <w:right w:val="none" w:color="000000" w:sz="4"/>
          <w:insideH w:val="none"/>
          <w:insideV w:val="none"/>
        </w:tblBorders>
      </w:tblPr>
      <w:tblGrid>
        <w:gridCol w:w="1264"/>
        <w:gridCol w:w="1499"/>
        <w:gridCol w:w="984"/>
        <w:gridCol w:w="1587"/>
        <w:gridCol w:w="1337"/>
        <w:gridCol w:w="1587"/>
      </w:tblGrid>
      <w:tr>
        <w:tc>
          <w:tcPr>
            <w:tcW w:type="dxa" w:w="12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监测项目</w:t>
            </w:r>
          </w:p>
        </w:tc>
        <w:tc>
          <w:tcPr>
            <w:tcW w:type="dxa" w:w="540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c>
          <w:tcPr>
            <w:tcW w:type="dxa" w:w="15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检测方法</w:t>
            </w:r>
          </w:p>
        </w:tc>
      </w:tr>
      <w:tr>
        <w:tc>
          <w:tcPr>
            <w:tcW w:type="dxa" w:w="1264"/>
            <w:vMerge/>
            <w:tcBorders>
              <w:top w:val="single" w:color="000000" w:sz="4"/>
              <w:left w:val="single" w:color="000000" w:sz="4"/>
              <w:bottom w:val="single" w:color="000000" w:sz="4"/>
              <w:right w:val="single" w:color="000000" w:sz="4"/>
            </w:tcBorders>
          </w:tcPr>
          <w:p/>
        </w:tc>
        <w:tc>
          <w:tcPr>
            <w:tcW w:type="dxa" w:w="24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标准溶液考核</w:t>
            </w:r>
          </w:p>
        </w:tc>
        <w:tc>
          <w:tcPr>
            <w:tcW w:type="dxa" w:w="29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r>
      <w:tr>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水温</w:t>
            </w:r>
          </w:p>
        </w:tc>
        <w:tc>
          <w:tcPr>
            <w:tcW w:type="dxa" w:w="24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b/>
              </w:rPr>
              <w:t>/</w:t>
            </w:r>
          </w:p>
        </w:tc>
        <w:tc>
          <w:tcPr>
            <w:tcW w:type="dxa" w:w="29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》附录</w:t>
            </w:r>
            <w:r>
              <w:rPr>
                <w:sz w:val="21"/>
              </w:rPr>
              <w:t>A.7</w:t>
            </w:r>
          </w:p>
        </w:tc>
      </w:tr>
      <w:tr>
        <w:tc>
          <w:tcPr>
            <w:tcW w:type="dxa" w:w="1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p>
        </w:tc>
        <w:tc>
          <w:tcPr>
            <w:tcW w:type="dxa" w:w="24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w:t>
            </w:r>
          </w:p>
        </w:tc>
        <w:tc>
          <w:tcPr>
            <w:tcW w:type="dxa" w:w="29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1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w:t>
            </w:r>
          </w:p>
        </w:tc>
        <w:tc>
          <w:tcPr>
            <w:tcW w:type="dxa" w:w="248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±0.3mg/L</w:t>
            </w:r>
          </w:p>
        </w:tc>
        <w:tc>
          <w:tcPr>
            <w:tcW w:type="dxa" w:w="29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8</w:t>
            </w:r>
            <w:r>
              <w:rPr>
                <w:sz w:val="21"/>
              </w:rPr>
              <w:t>mg/L</w:t>
            </w:r>
          </w:p>
        </w:tc>
      </w:tr>
      <w:tr>
        <w:tc>
          <w:tcPr>
            <w:tcW w:type="dxa" w:w="1264"/>
            <w:vMerge/>
            <w:tcBorders>
              <w:top w:val="none" w:color="000000" w:sz="4"/>
              <w:left w:val="single" w:color="000000" w:sz="4"/>
              <w:bottom w:val="single" w:color="000000" w:sz="4"/>
              <w:right w:val="single" w:color="000000" w:sz="4"/>
            </w:tcBorders>
          </w:tcPr>
          <w:p/>
        </w:tc>
        <w:tc>
          <w:tcPr>
            <w:tcW w:type="dxa" w:w="2483"/>
            <w:gridSpan w:val="2"/>
            <w:vMerge/>
            <w:tcBorders>
              <w:top w:val="none" w:color="000000" w:sz="4"/>
              <w:left w:val="single" w:color="000000" w:sz="4"/>
              <w:bottom w:val="single" w:color="000000" w:sz="4"/>
              <w:right w:val="single" w:color="000000" w:sz="4"/>
            </w:tcBorders>
          </w:tcPr>
          <w:p/>
        </w:tc>
        <w:tc>
          <w:tcPr>
            <w:tcW w:type="dxa" w:w="29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当溶解氧自动监测仪与便携仪器均过饱和时，比对结果合格</w:t>
            </w:r>
          </w:p>
        </w:tc>
      </w:tr>
      <w:tr>
        <w:tc>
          <w:tcPr>
            <w:tcW w:type="dxa" w:w="1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标准溶液值＞100μS/cm</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电导率＞100μS/cm</w:t>
            </w:r>
          </w:p>
        </w:tc>
        <w:tc>
          <w:tcPr>
            <w:tcW w:type="dxa" w:w="1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87"/>
            <w:vMerge/>
            <w:tcBorders>
              <w:top w:val="none" w:color="000000" w:sz="4"/>
              <w:left w:val="single" w:color="000000" w:sz="4"/>
              <w:bottom w:val="single" w:color="000000" w:sz="4"/>
              <w:right w:val="single" w:color="000000" w:sz="4"/>
            </w:tcBorders>
          </w:tcPr>
          <w:p/>
        </w:tc>
      </w:tr>
      <w:tr>
        <w:tc>
          <w:tcPr>
            <w:tcW w:type="dxa" w:w="1264"/>
            <w:vMerge/>
            <w:tcBorders>
              <w:top w:val="none" w:color="000000" w:sz="4"/>
              <w:left w:val="single" w:color="000000" w:sz="4"/>
              <w:bottom w:val="single" w:color="000000" w:sz="4"/>
              <w:right w:val="single" w:color="000000" w:sz="4"/>
            </w:tcBorders>
          </w:tcP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标准溶液值≤100μS/cm</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±5μS/cm</w:t>
            </w: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电导率≤100μS/cm</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±10μS/cm</w:t>
            </w:r>
          </w:p>
        </w:tc>
        <w:tc>
          <w:tcPr>
            <w:tcW w:type="dxa" w:w="1587"/>
            <w:vMerge/>
            <w:tcBorders>
              <w:top w:val="none" w:color="000000" w:sz="4"/>
              <w:left w:val="single" w:color="000000" w:sz="4"/>
              <w:bottom w:val="single" w:color="000000" w:sz="4"/>
              <w:right w:val="single" w:color="000000" w:sz="4"/>
            </w:tcBorders>
          </w:tcPr>
          <w:p/>
        </w:tc>
      </w:tr>
      <w:tr>
        <w:tc>
          <w:tcPr>
            <w:tcW w:type="dxa" w:w="12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w:t>
            </w:r>
          </w:p>
        </w:tc>
        <w:tc>
          <w:tcPr>
            <w:tcW w:type="dxa" w:w="1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30NTU＜</w:t>
            </w:r>
            <w:r>
              <w:rPr>
                <w:sz w:val="21"/>
              </w:rPr>
              <w:t>标准溶液值</w:t>
            </w:r>
            <w:r>
              <w:rPr>
                <w:sz w:val="21"/>
              </w:rPr>
              <w:t>≤50NTU</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便携监测结果</w:t>
            </w:r>
            <w:r>
              <w:rPr>
                <w:sz w:val="21"/>
              </w:rPr>
              <w:t>≤50NTU</w:t>
            </w:r>
          </w:p>
        </w:tc>
        <w:tc>
          <w:tcPr>
            <w:tcW w:type="dxa" w:w="1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87"/>
            <w:vMerge/>
            <w:tcBorders>
              <w:top w:val="none" w:color="000000" w:sz="4"/>
              <w:left w:val="single" w:color="000000" w:sz="4"/>
              <w:bottom w:val="single" w:color="000000" w:sz="4"/>
              <w:right w:val="single" w:color="000000" w:sz="4"/>
            </w:tcBorders>
          </w:tcPr>
          <w:p/>
        </w:tc>
      </w:tr>
      <w:tr>
        <w:tc>
          <w:tcPr>
            <w:tcW w:type="dxa" w:w="1264"/>
            <w:vMerge/>
            <w:tcBorders>
              <w:top w:val="none" w:color="000000" w:sz="4"/>
              <w:left w:val="single" w:color="000000" w:sz="4"/>
              <w:bottom w:val="single" w:color="000000" w:sz="4"/>
              <w:right w:val="single" w:color="000000" w:sz="4"/>
            </w:tcBorders>
          </w:tcPr>
          <w:p/>
        </w:tc>
        <w:tc>
          <w:tcPr>
            <w:tcW w:type="dxa" w:w="14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50NTU＜</w:t>
            </w:r>
            <w:r>
              <w:rPr>
                <w:sz w:val="21"/>
              </w:rPr>
              <w:t>标准溶液值</w:t>
            </w:r>
            <w:r>
              <w:rPr>
                <w:sz w:val="21"/>
              </w:rPr>
              <w:t>＜1000NTU</w:t>
            </w:r>
          </w:p>
        </w:tc>
        <w:tc>
          <w:tcPr>
            <w:tcW w:type="dxa" w:w="9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便携监测结果＞</w:t>
            </w:r>
            <w:r>
              <w:rPr>
                <w:sz w:val="21"/>
              </w:rPr>
              <w:t>50NTU</w:t>
            </w:r>
          </w:p>
        </w:tc>
        <w:tc>
          <w:tcPr>
            <w:tcW w:type="dxa" w:w="133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87"/>
            <w:vMerge/>
            <w:tcBorders>
              <w:top w:val="none" w:color="000000" w:sz="4"/>
              <w:left w:val="single" w:color="000000" w:sz="4"/>
              <w:bottom w:val="single" w:color="000000" w:sz="4"/>
              <w:right w:val="single" w:color="000000" w:sz="4"/>
            </w:tcBorders>
          </w:tcPr>
          <w:p/>
        </w:tc>
      </w:tr>
      <w:tr>
        <w:tc>
          <w:tcPr>
            <w:tcW w:type="dxa" w:w="1264"/>
            <w:vMerge/>
            <w:tcBorders>
              <w:top w:val="none" w:color="000000" w:sz="4"/>
              <w:left w:val="single" w:color="000000" w:sz="4"/>
              <w:bottom w:val="single" w:color="000000" w:sz="4"/>
              <w:right w:val="single" w:color="000000" w:sz="4"/>
            </w:tcBorders>
          </w:tcPr>
          <w:p/>
        </w:tc>
        <w:tc>
          <w:tcPr>
            <w:tcW w:type="dxa" w:w="1499"/>
            <w:vMerge/>
            <w:tcBorders>
              <w:top w:val="none" w:color="000000" w:sz="4"/>
              <w:left w:val="single" w:color="000000" w:sz="4"/>
              <w:bottom w:val="single" w:color="000000" w:sz="4"/>
              <w:right w:val="single" w:color="000000" w:sz="4"/>
            </w:tcBorders>
          </w:tcPr>
          <w:p/>
        </w:tc>
        <w:tc>
          <w:tcPr>
            <w:tcW w:type="dxa" w:w="984"/>
            <w:vMerge/>
            <w:tcBorders>
              <w:top w:val="none" w:color="000000" w:sz="4"/>
              <w:left w:val="single" w:color="000000" w:sz="4"/>
              <w:bottom w:val="single" w:color="000000" w:sz="4"/>
              <w:right w:val="single" w:color="000000" w:sz="4"/>
            </w:tcBorders>
          </w:tcPr>
          <w:p/>
        </w:tc>
        <w:tc>
          <w:tcPr>
            <w:tcW w:type="dxa" w:w="29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当浊度自动监测仪与便携仪器监测结果均≤30NTU或≥1000NTU时，判断比对结果合格</w:t>
            </w:r>
          </w:p>
        </w:tc>
        <w:tc>
          <w:tcPr>
            <w:tcW w:type="dxa" w:w="1587"/>
            <w:vMerge/>
            <w:tcBorders>
              <w:top w:val="none" w:color="000000" w:sz="4"/>
              <w:left w:val="single" w:color="000000" w:sz="4"/>
              <w:bottom w:val="single" w:color="000000" w:sz="4"/>
              <w:right w:val="single" w:color="000000" w:sz="4"/>
            </w:tcBorders>
          </w:tcPr>
          <w:p/>
        </w:tc>
      </w:tr>
    </w:tbl>
    <w:p>
      <w:pPr>
        <w:pStyle w:val="null3"/>
      </w:pPr>
      <w:r>
        <w:rPr/>
        <w:t xml:space="preserve"> </w:t>
      </w:r>
    </w:p>
    <w:p>
      <w:pPr>
        <w:pStyle w:val="null3"/>
        <w:jc w:val="both"/>
      </w:pPr>
      <w:r>
        <w:rPr>
          <w:sz w:val="21"/>
        </w:rPr>
        <w:t>（</w:t>
      </w:r>
      <w:r>
        <w:rPr>
          <w:sz w:val="21"/>
        </w:rPr>
        <w:t>5</w:t>
      </w:r>
      <w:r>
        <w:rPr>
          <w:sz w:val="21"/>
        </w:rPr>
        <w:t>）</w:t>
      </w:r>
      <w:r>
        <w:rPr>
          <w:sz w:val="21"/>
        </w:rPr>
        <w:t>监测数据有效性评价</w:t>
      </w:r>
    </w:p>
    <w:p>
      <w:pPr>
        <w:pStyle w:val="null3"/>
        <w:jc w:val="both"/>
      </w:pPr>
      <w:r>
        <w:rPr>
          <w:sz w:val="21"/>
        </w:rPr>
        <w:t>1</w:t>
      </w:r>
      <w:r>
        <w:rPr>
          <w:sz w:val="21"/>
        </w:rPr>
        <w:t>）</w:t>
      </w:r>
      <w:r>
        <w:rPr>
          <w:sz w:val="21"/>
        </w:rPr>
        <w:t>有效性评价</w:t>
      </w:r>
    </w:p>
    <w:p>
      <w:pPr>
        <w:pStyle w:val="null3"/>
        <w:jc w:val="both"/>
      </w:pPr>
      <w:r>
        <w:rPr>
          <w:sz w:val="21"/>
        </w:rPr>
        <w:t>a.当</w:t>
      </w:r>
      <w:r>
        <w:rPr>
          <w:sz w:val="21"/>
        </w:rPr>
        <w:t>低浓度标样</w:t>
      </w:r>
      <w:r>
        <w:rPr>
          <w:sz w:val="21"/>
        </w:rPr>
        <w:t>核查、24小时</w:t>
      </w:r>
      <w:r>
        <w:rPr>
          <w:sz w:val="21"/>
        </w:rPr>
        <w:t>低浓度</w:t>
      </w:r>
      <w:r>
        <w:rPr>
          <w:sz w:val="21"/>
        </w:rPr>
        <w:t>漂移、</w:t>
      </w:r>
      <w:r>
        <w:rPr>
          <w:sz w:val="21"/>
        </w:rPr>
        <w:t>高浓度标样</w:t>
      </w:r>
      <w:r>
        <w:rPr>
          <w:sz w:val="21"/>
        </w:rPr>
        <w:t>核查、24小时</w:t>
      </w:r>
      <w:r>
        <w:rPr>
          <w:sz w:val="21"/>
        </w:rPr>
        <w:t>高浓度</w:t>
      </w:r>
      <w:r>
        <w:rPr>
          <w:sz w:val="21"/>
        </w:rPr>
        <w:t>漂移任意一项不满足表2要求时，则核查、漂移满足要求的前次和后次之间数据无效；</w:t>
      </w:r>
    </w:p>
    <w:p>
      <w:pPr>
        <w:pStyle w:val="null3"/>
        <w:jc w:val="both"/>
      </w:pPr>
      <w:r>
        <w:rPr>
          <w:sz w:val="21"/>
        </w:rPr>
        <w:t>b.水站维护、水质自动分析仪故障和质控测试期间所有缺失的监测数据均视为无效数据；</w:t>
      </w:r>
    </w:p>
    <w:p>
      <w:pPr>
        <w:pStyle w:val="null3"/>
        <w:jc w:val="both"/>
      </w:pPr>
      <w:r>
        <w:rPr>
          <w:sz w:val="21"/>
        </w:rPr>
        <w:t>c.当常规五参数标样核查结果不满足表3要求时，则下次至上次满足要求期间获取的监测数据为无效数据；</w:t>
      </w:r>
    </w:p>
    <w:p>
      <w:pPr>
        <w:pStyle w:val="null3"/>
        <w:jc w:val="both"/>
      </w:pPr>
      <w:r>
        <w:rPr>
          <w:sz w:val="21"/>
        </w:rPr>
        <w:t>d.月质控（多点线性核查、实际水样比对、加标回收率自动测试、集成干预检查）不满足表2要求时，此次至下次满足要求期间获取的监测数据为无效数据。</w:t>
      </w:r>
    </w:p>
    <w:p>
      <w:pPr>
        <w:pStyle w:val="null3"/>
        <w:jc w:val="both"/>
      </w:pPr>
      <w:r>
        <w:rPr>
          <w:sz w:val="21"/>
        </w:rPr>
        <w:t>2</w:t>
      </w:r>
      <w:r>
        <w:rPr>
          <w:sz w:val="21"/>
        </w:rPr>
        <w:t>）</w:t>
      </w:r>
      <w:r>
        <w:rPr>
          <w:sz w:val="21"/>
        </w:rPr>
        <w:t>测试结果计算的修约标准</w:t>
      </w:r>
    </w:p>
    <w:p>
      <w:pPr>
        <w:pStyle w:val="null3"/>
        <w:jc w:val="both"/>
      </w:pPr>
      <w:r>
        <w:rPr>
          <w:sz w:val="21"/>
        </w:rPr>
        <w:t>在测试计算中，所有质控测试结果计算的修约方法遵守《数值修约规则与极限数值的表示和判定》要求，具体监测项目质控测试结果计算的小数位数见下表4。</w:t>
      </w:r>
    </w:p>
    <w:p>
      <w:pPr>
        <w:pStyle w:val="null3"/>
        <w:jc w:val="both"/>
      </w:pPr>
      <w:r>
        <w:rPr>
          <w:sz w:val="21"/>
        </w:rPr>
        <w:t>表4监测项目质控测试结果修约要求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935"/>
        <w:gridCol w:w="4020"/>
        <w:gridCol w:w="2325"/>
      </w:tblGrid>
      <w:tr>
        <w:tc>
          <w:tcPr>
            <w:tcW w:type="dxa" w:w="595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p>
        </w:tc>
        <w:tc>
          <w:tcPr>
            <w:tcW w:type="dxa" w:w="2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保留小数位数</w:t>
            </w:r>
          </w:p>
        </w:tc>
      </w:tr>
      <w:tr>
        <w:tc>
          <w:tcPr>
            <w:tcW w:type="dxa" w:w="59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绝对误差</w:t>
            </w:r>
          </w:p>
        </w:tc>
        <w:tc>
          <w:tcPr>
            <w:tcW w:type="dxa" w:w="4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水温（℃）</w:t>
            </w:r>
          </w:p>
        </w:tc>
        <w:tc>
          <w:tcPr>
            <w:tcW w:type="dxa" w:w="2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5"/>
            <w:vMerge/>
            <w:tcBorders>
              <w:top w:val="none" w:color="000000" w:sz="4"/>
              <w:left w:val="single" w:color="000000" w:sz="4"/>
              <w:bottom w:val="single" w:color="000000" w:sz="4"/>
              <w:right w:val="single" w:color="000000" w:sz="4"/>
            </w:tcBorders>
          </w:tcPr>
          <w:p/>
        </w:tc>
        <w:tc>
          <w:tcPr>
            <w:tcW w:type="dxa" w:w="4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pH（无量纲）</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935"/>
            <w:vMerge/>
            <w:tcBorders>
              <w:top w:val="none" w:color="000000" w:sz="4"/>
              <w:left w:val="single" w:color="000000" w:sz="4"/>
              <w:bottom w:val="single" w:color="000000" w:sz="4"/>
              <w:right w:val="single" w:color="000000" w:sz="4"/>
            </w:tcBorders>
          </w:tcPr>
          <w:p/>
        </w:tc>
        <w:tc>
          <w:tcPr>
            <w:tcW w:type="dxa" w:w="4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溶解氧（mg/L）</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935"/>
            <w:vMerge/>
            <w:tcBorders>
              <w:top w:val="none" w:color="000000" w:sz="4"/>
              <w:left w:val="single" w:color="000000" w:sz="4"/>
              <w:bottom w:val="single" w:color="000000" w:sz="4"/>
              <w:right w:val="single" w:color="000000" w:sz="4"/>
            </w:tcBorders>
          </w:tcPr>
          <w:p/>
        </w:tc>
        <w:tc>
          <w:tcPr>
            <w:tcW w:type="dxa" w:w="4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电导率（μS/cm）</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5"/>
            <w:vMerge/>
            <w:tcBorders>
              <w:top w:val="none" w:color="000000" w:sz="4"/>
              <w:left w:val="single" w:color="000000" w:sz="4"/>
              <w:bottom w:val="single" w:color="000000" w:sz="4"/>
              <w:right w:val="single" w:color="000000" w:sz="4"/>
            </w:tcBorders>
          </w:tcPr>
          <w:p/>
        </w:tc>
        <w:tc>
          <w:tcPr>
            <w:tcW w:type="dxa" w:w="4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浊度（NTU）</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5"/>
            <w:vMerge/>
            <w:tcBorders>
              <w:top w:val="none" w:color="000000" w:sz="4"/>
              <w:left w:val="single" w:color="000000" w:sz="4"/>
              <w:bottom w:val="single" w:color="000000" w:sz="4"/>
              <w:right w:val="single" w:color="000000" w:sz="4"/>
            </w:tcBorders>
          </w:tcPr>
          <w:p/>
        </w:tc>
        <w:tc>
          <w:tcPr>
            <w:tcW w:type="dxa" w:w="4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高锰酸盐指数（mg/L）</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5"/>
            <w:vMerge/>
            <w:tcBorders>
              <w:top w:val="none" w:color="000000" w:sz="4"/>
              <w:left w:val="single" w:color="000000" w:sz="4"/>
              <w:bottom w:val="single" w:color="000000" w:sz="4"/>
              <w:right w:val="single" w:color="000000" w:sz="4"/>
            </w:tcBorders>
          </w:tcPr>
          <w:p/>
        </w:tc>
        <w:tc>
          <w:tcPr>
            <w:tcW w:type="dxa" w:w="4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氨氮（mg/L）</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935"/>
            <w:vMerge/>
            <w:tcBorders>
              <w:top w:val="none" w:color="000000" w:sz="4"/>
              <w:left w:val="single" w:color="000000" w:sz="4"/>
              <w:bottom w:val="single" w:color="000000" w:sz="4"/>
              <w:right w:val="single" w:color="000000" w:sz="4"/>
            </w:tcBorders>
          </w:tcPr>
          <w:p/>
        </w:tc>
        <w:tc>
          <w:tcPr>
            <w:tcW w:type="dxa" w:w="40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总磷（mg/L）</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59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59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sz w:val="21"/>
        </w:rPr>
        <w:t>3</w:t>
      </w:r>
      <w:r>
        <w:rPr>
          <w:sz w:val="21"/>
        </w:rPr>
        <w:t>）</w:t>
      </w:r>
      <w:r>
        <w:rPr>
          <w:sz w:val="21"/>
        </w:rPr>
        <w:t>数据有效率计算</w:t>
      </w:r>
    </w:p>
    <w:p>
      <w:pPr>
        <w:pStyle w:val="null3"/>
        <w:jc w:val="both"/>
      </w:pPr>
      <w:r>
        <w:rPr>
          <w:sz w:val="21"/>
        </w:rPr>
        <w:t>①　数据有效率计算如下：（应获取数据-无效数据）/应获取数据×100%；</w:t>
      </w:r>
    </w:p>
    <w:p>
      <w:pPr>
        <w:pStyle w:val="null3"/>
        <w:jc w:val="both"/>
      </w:pPr>
      <w:r>
        <w:rPr>
          <w:sz w:val="21"/>
        </w:rPr>
        <w:t>②　应获取数据：常规五参数每小时1个，其他参数每4小时1个。</w:t>
      </w:r>
    </w:p>
    <w:p>
      <w:pPr>
        <w:pStyle w:val="null3"/>
        <w:jc w:val="both"/>
      </w:pPr>
      <w:r>
        <w:rPr>
          <w:sz w:val="21"/>
        </w:rPr>
        <w:t>③　运行维护</w:t>
      </w:r>
    </w:p>
    <w:p>
      <w:pPr>
        <w:pStyle w:val="null3"/>
        <w:jc w:val="both"/>
      </w:pPr>
      <w:r>
        <w:rPr>
          <w:sz w:val="21"/>
        </w:rPr>
        <w:t>（</w:t>
      </w:r>
      <w:r>
        <w:rPr>
          <w:sz w:val="21"/>
        </w:rPr>
        <w:t>6</w:t>
      </w:r>
      <w:r>
        <w:rPr>
          <w:sz w:val="21"/>
        </w:rPr>
        <w:t>）</w:t>
      </w:r>
      <w:r>
        <w:rPr>
          <w:sz w:val="21"/>
        </w:rPr>
        <w:t>远程维护</w:t>
      </w:r>
    </w:p>
    <w:p>
      <w:pPr>
        <w:pStyle w:val="null3"/>
        <w:jc w:val="both"/>
      </w:pPr>
      <w:r>
        <w:rPr>
          <w:sz w:val="21"/>
        </w:rPr>
        <w:t>乙方</w:t>
      </w:r>
      <w:r>
        <w:rPr>
          <w:sz w:val="21"/>
        </w:rPr>
        <w:t>的运维人员应每天通过平台查看监测数据，对水站运行状态和数据质量进行相应判断，对站点的运维情况及相关信息进行统计和评价，包括运维巡检频次、质控频次、故障响应情况、超标响应情况等信息统计，结合数据获取率、数据有效率等对水站的运行维护情况进行评价。</w:t>
      </w:r>
    </w:p>
    <w:p>
      <w:pPr>
        <w:pStyle w:val="null3"/>
        <w:jc w:val="both"/>
      </w:pPr>
      <w:r>
        <w:rPr>
          <w:sz w:val="21"/>
        </w:rPr>
        <w:t>1</w:t>
      </w:r>
      <w:r>
        <w:rPr>
          <w:sz w:val="21"/>
        </w:rPr>
        <w:t>）</w:t>
      </w:r>
      <w:r>
        <w:rPr>
          <w:sz w:val="21"/>
        </w:rPr>
        <w:t>远程巡视</w:t>
      </w:r>
    </w:p>
    <w:p>
      <w:pPr>
        <w:pStyle w:val="null3"/>
        <w:jc w:val="both"/>
      </w:pPr>
      <w:r>
        <w:rPr>
          <w:sz w:val="21"/>
        </w:rPr>
        <w:t>每日对水站运行条件及设备运行状况进行远程查看，具体工作如下:</w:t>
      </w:r>
    </w:p>
    <w:p>
      <w:pPr>
        <w:pStyle w:val="null3"/>
        <w:jc w:val="both"/>
      </w:pPr>
      <w:r>
        <w:rPr>
          <w:sz w:val="21"/>
        </w:rPr>
        <w:t>①　检查数据采集与传输状况，确认</w:t>
      </w:r>
      <w:r>
        <w:rPr>
          <w:sz w:val="21"/>
        </w:rPr>
        <w:t>监测数据和运行日志是否完整</w:t>
      </w:r>
      <w:r>
        <w:rPr>
          <w:sz w:val="21"/>
        </w:rPr>
        <w:t>；</w:t>
      </w:r>
    </w:p>
    <w:p>
      <w:pPr>
        <w:pStyle w:val="null3"/>
        <w:jc w:val="both"/>
      </w:pPr>
      <w:r>
        <w:rPr>
          <w:sz w:val="21"/>
        </w:rPr>
        <w:t>②　根据仪器质控结果、</w:t>
      </w:r>
      <w:r>
        <w:rPr>
          <w:sz w:val="21"/>
        </w:rPr>
        <w:t>运行</w:t>
      </w:r>
      <w:r>
        <w:rPr>
          <w:sz w:val="21"/>
        </w:rPr>
        <w:t>日志</w:t>
      </w:r>
      <w:r>
        <w:rPr>
          <w:sz w:val="21"/>
        </w:rPr>
        <w:t>等信息，</w:t>
      </w:r>
      <w:r>
        <w:rPr>
          <w:sz w:val="21"/>
        </w:rPr>
        <w:t>判断</w:t>
      </w:r>
      <w:r>
        <w:rPr>
          <w:sz w:val="21"/>
        </w:rPr>
        <w:t>水站运行</w:t>
      </w:r>
      <w:r>
        <w:rPr>
          <w:sz w:val="21"/>
        </w:rPr>
        <w:t>运行情况及数据的可靠性；</w:t>
      </w:r>
    </w:p>
    <w:p>
      <w:pPr>
        <w:pStyle w:val="null3"/>
        <w:jc w:val="both"/>
      </w:pPr>
      <w:r>
        <w:rPr>
          <w:sz w:val="21"/>
        </w:rPr>
        <w:t>③　对前一天监测数据有效性进行审核并对异常数据进行标记，</w:t>
      </w:r>
      <w:r>
        <w:rPr>
          <w:sz w:val="21"/>
        </w:rPr>
        <w:t>异常数据判定依据见（8）异常情况处置要求</w:t>
      </w:r>
      <w:r>
        <w:rPr>
          <w:sz w:val="21"/>
        </w:rPr>
        <w:t>；</w:t>
      </w:r>
    </w:p>
    <w:p>
      <w:pPr>
        <w:pStyle w:val="null3"/>
        <w:jc w:val="both"/>
      </w:pPr>
      <w:r>
        <w:rPr>
          <w:sz w:val="21"/>
        </w:rPr>
        <w:t>④　</w:t>
      </w:r>
      <w:r>
        <w:rPr>
          <w:sz w:val="21"/>
        </w:rPr>
        <w:t>出现异常数据时，远程或自动对监测仪器开展校时、复位、水样/标样测试、校准等维护工作。</w:t>
      </w:r>
    </w:p>
    <w:p>
      <w:pPr>
        <w:pStyle w:val="null3"/>
        <w:jc w:val="both"/>
      </w:pPr>
      <w:r>
        <w:rPr>
          <w:sz w:val="21"/>
        </w:rPr>
        <w:t>⑤  远程查看采水设施、水位以及站房内外情况，如发现异常，应及时报告和处置，必要时前往现场确认和维护</w:t>
      </w:r>
      <w:r>
        <w:rPr>
          <w:sz w:val="21"/>
        </w:rPr>
        <w:t>；</w:t>
      </w:r>
    </w:p>
    <w:p>
      <w:pPr>
        <w:pStyle w:val="null3"/>
        <w:jc w:val="both"/>
      </w:pPr>
      <w:r>
        <w:rPr>
          <w:sz w:val="21"/>
        </w:rPr>
        <w:t>⑤　</w:t>
      </w:r>
      <w:r>
        <w:rPr>
          <w:sz w:val="21"/>
        </w:rPr>
        <w:t>根据测试结果综合判断数据有效性，确定水质发生重大变化或仪器设备保障，应及时报告和处置，必要时前往现场确认和维护</w:t>
      </w:r>
      <w:r>
        <w:rPr>
          <w:sz w:val="21"/>
        </w:rPr>
        <w:t>。</w:t>
      </w:r>
    </w:p>
    <w:p>
      <w:pPr>
        <w:pStyle w:val="null3"/>
        <w:jc w:val="both"/>
      </w:pPr>
      <w:r>
        <w:rPr>
          <w:sz w:val="21"/>
        </w:rPr>
        <w:t>（</w:t>
      </w:r>
      <w:r>
        <w:rPr>
          <w:sz w:val="21"/>
        </w:rPr>
        <w:t>7</w:t>
      </w:r>
      <w:r>
        <w:rPr>
          <w:sz w:val="21"/>
        </w:rPr>
        <w:t>）</w:t>
      </w:r>
      <w:r>
        <w:rPr>
          <w:sz w:val="21"/>
        </w:rPr>
        <w:t>例行</w:t>
      </w:r>
      <w:r>
        <w:rPr>
          <w:sz w:val="21"/>
        </w:rPr>
        <w:t>维护</w:t>
      </w:r>
    </w:p>
    <w:p>
      <w:pPr>
        <w:pStyle w:val="null3"/>
        <w:jc w:val="both"/>
      </w:pPr>
      <w:r>
        <w:rPr>
          <w:sz w:val="21"/>
        </w:rPr>
        <w:t>现场维护包括由运维技术人员到水质自动监测站现场完成的例行巡检、定期养护和现场质控工作。</w:t>
      </w:r>
      <w:r>
        <w:rPr>
          <w:sz w:val="21"/>
        </w:rPr>
        <w:t>乙方</w:t>
      </w:r>
      <w:r>
        <w:rPr>
          <w:sz w:val="21"/>
        </w:rPr>
        <w:t>需中标后在项目运维地设立备机备件库。</w:t>
      </w:r>
    </w:p>
    <w:p>
      <w:pPr>
        <w:pStyle w:val="null3"/>
        <w:jc w:val="both"/>
      </w:pPr>
      <w:r>
        <w:rPr>
          <w:sz w:val="21"/>
        </w:rPr>
        <w:t>1</w:t>
      </w:r>
      <w:r>
        <w:rPr>
          <w:sz w:val="21"/>
        </w:rPr>
        <w:t>）</w:t>
      </w:r>
      <w:r>
        <w:rPr>
          <w:sz w:val="21"/>
        </w:rPr>
        <w:t>每周应按照一下要求采用人工或自动等方式开展维护：</w:t>
      </w:r>
    </w:p>
    <w:p>
      <w:pPr>
        <w:pStyle w:val="null3"/>
        <w:jc w:val="both"/>
      </w:pPr>
      <w:r>
        <w:rPr>
          <w:sz w:val="21"/>
        </w:rPr>
        <w:t>a）检査采水点周边环境，记录水体颜色、嗅味、水位变化等情况，及时清理漂浮物等杂物；当水位发生较大变化时应调整采水口位置以保障采水正常；在封冻期前做好采排水管路和站房保温等维护工作；</w:t>
      </w:r>
    </w:p>
    <w:p>
      <w:pPr>
        <w:pStyle w:val="null3"/>
        <w:jc w:val="both"/>
      </w:pPr>
      <w:r>
        <w:rPr>
          <w:sz w:val="21"/>
        </w:rPr>
        <w:t>b）通过回看视频确认采水设施，站房是否存在异常情况；</w:t>
      </w:r>
    </w:p>
    <w:p>
      <w:pPr>
        <w:pStyle w:val="null3"/>
        <w:jc w:val="both"/>
      </w:pPr>
      <w:r>
        <w:rPr>
          <w:sz w:val="21"/>
        </w:rPr>
        <w:t>c） 查看站房内外运行环境,确认室内温度、湿度等条件是否满足要求,保持站房内干净整洁，检查站房外部安防等设施是否正常。</w:t>
      </w:r>
    </w:p>
    <w:p>
      <w:pPr>
        <w:pStyle w:val="null3"/>
        <w:jc w:val="both"/>
      </w:pPr>
      <w:r>
        <w:rPr>
          <w:sz w:val="21"/>
        </w:rPr>
        <w:t>d) 检査采配水单元是否正常，包括采水浮筒固定情况、采水泵、增压泵、空气泵、手阀、电动阀工作状态以及采排水管路是否存在漏液或堵塞情况，必要时应清洗并排除故障；</w:t>
      </w:r>
    </w:p>
    <w:p>
      <w:pPr>
        <w:pStyle w:val="null3"/>
        <w:jc w:val="both"/>
      </w:pPr>
      <w:r>
        <w:rPr>
          <w:sz w:val="21"/>
        </w:rPr>
        <w:t>e） 查看水质自动监测仪器及空压机、不间断电源(UPS)、除藻装置、纯水机等辅助设备是否正常，必要时应更换耗材；</w:t>
      </w:r>
    </w:p>
    <w:p>
      <w:pPr>
        <w:pStyle w:val="null3"/>
        <w:jc w:val="both"/>
      </w:pPr>
      <w:r>
        <w:rPr>
          <w:sz w:val="21"/>
        </w:rPr>
        <w:t>f）启动水质自动采样器，检查水质自动采样器工作状态；</w:t>
      </w:r>
    </w:p>
    <w:p>
      <w:pPr>
        <w:pStyle w:val="null3"/>
        <w:jc w:val="both"/>
      </w:pPr>
      <w:r>
        <w:rPr>
          <w:sz w:val="21"/>
        </w:rPr>
        <w:t>g）检查水质自动监测仪器、控制单元、监控中心平台三者监测数据和运行日志是否一致；</w:t>
      </w:r>
    </w:p>
    <w:p>
      <w:pPr>
        <w:pStyle w:val="null3"/>
        <w:jc w:val="both"/>
      </w:pPr>
      <w:r>
        <w:rPr>
          <w:sz w:val="21"/>
        </w:rPr>
        <w:t>h）查看试剂使用状况，及时添加或更换试剂，试剂使用时间最长不超过90天；</w:t>
      </w:r>
    </w:p>
    <w:p>
      <w:pPr>
        <w:pStyle w:val="null3"/>
        <w:jc w:val="both"/>
      </w:pPr>
      <w:r>
        <w:rPr>
          <w:sz w:val="21"/>
        </w:rPr>
        <w:t>i）查看废液收集情况，避免出现泄漏等情况；</w:t>
      </w:r>
    </w:p>
    <w:p>
      <w:pPr>
        <w:pStyle w:val="null3"/>
        <w:jc w:val="both"/>
      </w:pPr>
      <w:r>
        <w:rPr>
          <w:sz w:val="21"/>
        </w:rPr>
        <w:t>j）应及时清除</w:t>
      </w:r>
      <w:r>
        <w:rPr>
          <w:sz w:val="21"/>
        </w:rPr>
        <w:t>站房周围的杂草和积水，站房是否有漏水现象，检查防雷设施是否可靠，站房外围的其他设施是否有损坏或被水淹没</w:t>
      </w:r>
      <w:r>
        <w:rPr>
          <w:sz w:val="21"/>
        </w:rPr>
        <w:t>。</w:t>
      </w:r>
    </w:p>
    <w:p>
      <w:pPr>
        <w:pStyle w:val="null3"/>
        <w:jc w:val="both"/>
      </w:pPr>
      <w:r>
        <w:rPr>
          <w:sz w:val="21"/>
        </w:rPr>
        <w:t>2）每月应按照一下要求采用人工或自动方式开展维护：</w:t>
      </w:r>
    </w:p>
    <w:p>
      <w:pPr>
        <w:pStyle w:val="null3"/>
        <w:jc w:val="both"/>
      </w:pPr>
      <w:r>
        <w:rPr>
          <w:sz w:val="21"/>
        </w:rPr>
        <w:t>a）</w:t>
      </w:r>
      <w:r>
        <w:rPr>
          <w:sz w:val="21"/>
        </w:rPr>
        <w:t>清洗采水单元、配水与预处理单元</w:t>
      </w:r>
      <w:r>
        <w:rPr>
          <w:sz w:val="21"/>
        </w:rPr>
        <w:t>；</w:t>
      </w:r>
    </w:p>
    <w:p>
      <w:pPr>
        <w:pStyle w:val="null3"/>
        <w:jc w:val="both"/>
      </w:pPr>
      <w:r>
        <w:rPr>
          <w:sz w:val="21"/>
        </w:rPr>
        <w:t>b）</w:t>
      </w:r>
      <w:r>
        <w:rPr>
          <w:sz w:val="21"/>
        </w:rPr>
        <w:t>备份与存储监测数据</w:t>
      </w:r>
      <w:r>
        <w:rPr>
          <w:sz w:val="21"/>
        </w:rPr>
        <w:t>，</w:t>
      </w:r>
      <w:r>
        <w:rPr>
          <w:sz w:val="21"/>
        </w:rPr>
        <w:t>备份时间应不低于3年</w:t>
      </w:r>
      <w:r>
        <w:rPr>
          <w:sz w:val="21"/>
        </w:rPr>
        <w:t>；</w:t>
      </w:r>
    </w:p>
    <w:p>
      <w:pPr>
        <w:pStyle w:val="null3"/>
        <w:jc w:val="both"/>
      </w:pPr>
      <w:r>
        <w:rPr>
          <w:sz w:val="21"/>
        </w:rPr>
        <w:t>c）</w:t>
      </w:r>
      <w:r>
        <w:rPr>
          <w:sz w:val="21"/>
        </w:rPr>
        <w:t>检查稳压电源及不间断电源</w:t>
      </w:r>
      <w:r>
        <w:rPr>
          <w:sz w:val="21"/>
        </w:rPr>
        <w:t>（</w:t>
      </w:r>
      <w:r>
        <w:rPr>
          <w:sz w:val="21"/>
        </w:rPr>
        <w:t>UPS</w:t>
      </w:r>
      <w:r>
        <w:rPr>
          <w:sz w:val="21"/>
        </w:rPr>
        <w:t>）</w:t>
      </w:r>
      <w:r>
        <w:rPr>
          <w:sz w:val="21"/>
        </w:rPr>
        <w:t>输出是否符合要求</w:t>
      </w:r>
      <w:r>
        <w:rPr>
          <w:sz w:val="21"/>
        </w:rPr>
        <w:t>；</w:t>
      </w:r>
    </w:p>
    <w:p>
      <w:pPr>
        <w:pStyle w:val="null3"/>
        <w:jc w:val="both"/>
      </w:pPr>
      <w:r>
        <w:rPr>
          <w:sz w:val="21"/>
        </w:rPr>
        <w:t>d）</w:t>
      </w:r>
      <w:r>
        <w:rPr>
          <w:sz w:val="21"/>
        </w:rPr>
        <w:t>检查视频设备功能是否正常</w:t>
      </w:r>
      <w:r>
        <w:rPr>
          <w:sz w:val="21"/>
        </w:rPr>
        <w:t>，</w:t>
      </w:r>
      <w:r>
        <w:rPr>
          <w:sz w:val="21"/>
        </w:rPr>
        <w:t>发现问题应及时处置</w:t>
      </w:r>
      <w:r>
        <w:rPr>
          <w:sz w:val="21"/>
        </w:rPr>
        <w:t>；</w:t>
      </w:r>
    </w:p>
    <w:p>
      <w:pPr>
        <w:pStyle w:val="null3"/>
        <w:jc w:val="both"/>
      </w:pPr>
      <w:r>
        <w:rPr>
          <w:sz w:val="21"/>
        </w:rPr>
        <w:t>e）</w:t>
      </w:r>
      <w:r>
        <w:rPr>
          <w:sz w:val="21"/>
        </w:rPr>
        <w:t>检查空气压缩机和清水增压泵的工作状态</w:t>
      </w:r>
      <w:r>
        <w:rPr>
          <w:sz w:val="21"/>
        </w:rPr>
        <w:t>。</w:t>
      </w:r>
    </w:p>
    <w:p>
      <w:pPr>
        <w:pStyle w:val="null3"/>
        <w:jc w:val="both"/>
      </w:pPr>
      <w:r>
        <w:rPr>
          <w:sz w:val="21"/>
        </w:rPr>
        <w:t>3</w:t>
      </w:r>
      <w:r>
        <w:rPr>
          <w:sz w:val="21"/>
        </w:rPr>
        <w:t>）</w:t>
      </w:r>
      <w:r>
        <w:rPr>
          <w:sz w:val="21"/>
        </w:rPr>
        <w:t>每季度应按照以下要求采用人工或自动等方式开展维护</w:t>
      </w:r>
      <w:r>
        <w:rPr>
          <w:sz w:val="21"/>
        </w:rPr>
        <w:t>：</w:t>
      </w:r>
    </w:p>
    <w:p>
      <w:pPr>
        <w:pStyle w:val="null3"/>
        <w:jc w:val="both"/>
      </w:pPr>
      <w:r>
        <w:rPr>
          <w:sz w:val="21"/>
        </w:rPr>
        <w:t>a）</w:t>
      </w:r>
      <w:r>
        <w:rPr>
          <w:sz w:val="21"/>
        </w:rPr>
        <w:t>启停各泵、阀</w:t>
      </w:r>
      <w:r>
        <w:rPr>
          <w:sz w:val="21"/>
        </w:rPr>
        <w:t>，</w:t>
      </w:r>
      <w:r>
        <w:rPr>
          <w:sz w:val="21"/>
        </w:rPr>
        <w:t>检查工作状态是否正常</w:t>
      </w:r>
      <w:r>
        <w:rPr>
          <w:sz w:val="21"/>
        </w:rPr>
        <w:t>；</w:t>
      </w:r>
    </w:p>
    <w:p>
      <w:pPr>
        <w:pStyle w:val="null3"/>
        <w:jc w:val="both"/>
      </w:pPr>
      <w:r>
        <w:rPr>
          <w:sz w:val="21"/>
        </w:rPr>
        <w:t>b）</w:t>
      </w:r>
      <w:r>
        <w:rPr>
          <w:sz w:val="21"/>
        </w:rPr>
        <w:t>检查控制单元软硬件运行状态是否正常</w:t>
      </w:r>
      <w:r>
        <w:rPr>
          <w:sz w:val="21"/>
        </w:rPr>
        <w:t>。</w:t>
      </w:r>
    </w:p>
    <w:p>
      <w:pPr>
        <w:pStyle w:val="null3"/>
        <w:jc w:val="both"/>
      </w:pPr>
      <w:r>
        <w:rPr>
          <w:sz w:val="21"/>
        </w:rPr>
        <w:t>4</w:t>
      </w:r>
      <w:r>
        <w:rPr>
          <w:sz w:val="21"/>
        </w:rPr>
        <w:t>）</w:t>
      </w:r>
      <w:r>
        <w:rPr>
          <w:sz w:val="21"/>
        </w:rPr>
        <w:t>每年应按照以下要求开展维护</w:t>
      </w:r>
      <w:r>
        <w:rPr>
          <w:sz w:val="21"/>
        </w:rPr>
        <w:t>：</w:t>
      </w:r>
    </w:p>
    <w:p>
      <w:pPr>
        <w:pStyle w:val="null3"/>
        <w:jc w:val="both"/>
      </w:pPr>
      <w:r>
        <w:rPr>
          <w:sz w:val="21"/>
        </w:rPr>
        <w:t>a）</w:t>
      </w:r>
      <w:r>
        <w:rPr>
          <w:sz w:val="21"/>
        </w:rPr>
        <w:t>对站房及仪器设备开展全面养护</w:t>
      </w:r>
      <w:r>
        <w:rPr>
          <w:sz w:val="21"/>
        </w:rPr>
        <w:t>；</w:t>
      </w:r>
    </w:p>
    <w:p>
      <w:pPr>
        <w:pStyle w:val="null3"/>
        <w:jc w:val="both"/>
      </w:pPr>
      <w:r>
        <w:rPr>
          <w:sz w:val="21"/>
        </w:rPr>
        <w:t>b）</w:t>
      </w:r>
      <w:r>
        <w:rPr>
          <w:sz w:val="21"/>
        </w:rPr>
        <w:t>按要求更换站房内消防装置</w:t>
      </w:r>
      <w:r>
        <w:rPr>
          <w:sz w:val="21"/>
        </w:rPr>
        <w:t>，</w:t>
      </w:r>
      <w:r>
        <w:rPr>
          <w:sz w:val="21"/>
        </w:rPr>
        <w:t>通过具有资质的专业机构对防雷设施进行检测</w:t>
      </w:r>
      <w:r>
        <w:rPr>
          <w:sz w:val="21"/>
        </w:rPr>
        <w:t>、</w:t>
      </w:r>
      <w:r>
        <w:rPr>
          <w:sz w:val="21"/>
        </w:rPr>
        <w:t>维护或更换</w:t>
      </w:r>
      <w:r>
        <w:rPr>
          <w:sz w:val="21"/>
        </w:rPr>
        <w:t>，</w:t>
      </w:r>
      <w:r>
        <w:rPr>
          <w:sz w:val="21"/>
        </w:rPr>
        <w:t>并出具报告</w:t>
      </w:r>
      <w:r>
        <w:rPr>
          <w:sz w:val="21"/>
        </w:rPr>
        <w:t>。</w:t>
      </w:r>
    </w:p>
    <w:p>
      <w:pPr>
        <w:pStyle w:val="null3"/>
        <w:jc w:val="both"/>
      </w:pPr>
      <w:r>
        <w:rPr>
          <w:sz w:val="21"/>
        </w:rPr>
        <w:t>5</w:t>
      </w:r>
      <w:r>
        <w:rPr>
          <w:sz w:val="21"/>
        </w:rPr>
        <w:t>）</w:t>
      </w:r>
      <w:r>
        <w:rPr>
          <w:sz w:val="21"/>
        </w:rPr>
        <w:t>根据要求或结合实际运行情况</w:t>
      </w:r>
      <w:r>
        <w:rPr>
          <w:sz w:val="21"/>
        </w:rPr>
        <w:t>，</w:t>
      </w:r>
      <w:r>
        <w:rPr>
          <w:sz w:val="21"/>
        </w:rPr>
        <w:t>定期更换光源、电极、泵、阀、传感器等关键零部件及泵管等易耗品</w:t>
      </w:r>
      <w:r>
        <w:rPr>
          <w:sz w:val="21"/>
        </w:rPr>
        <w:t>。</w:t>
      </w:r>
    </w:p>
    <w:p>
      <w:pPr>
        <w:pStyle w:val="null3"/>
        <w:jc w:val="both"/>
      </w:pPr>
      <w:r>
        <w:rPr>
          <w:sz w:val="21"/>
        </w:rPr>
        <w:t>（</w:t>
      </w:r>
      <w:r>
        <w:rPr>
          <w:sz w:val="21"/>
        </w:rPr>
        <w:t>8</w:t>
      </w:r>
      <w:r>
        <w:rPr>
          <w:sz w:val="21"/>
        </w:rPr>
        <w:t>）</w:t>
      </w:r>
      <w:r>
        <w:rPr>
          <w:sz w:val="21"/>
        </w:rPr>
        <w:t>异常情况处置要求</w:t>
      </w:r>
    </w:p>
    <w:p>
      <w:pPr>
        <w:pStyle w:val="null3"/>
        <w:jc w:val="both"/>
      </w:pPr>
      <w:r>
        <w:rPr>
          <w:sz w:val="21"/>
        </w:rPr>
        <w:t>1</w:t>
      </w:r>
      <w:r>
        <w:rPr>
          <w:sz w:val="21"/>
        </w:rPr>
        <w:t>）</w:t>
      </w:r>
      <w:r>
        <w:rPr>
          <w:sz w:val="21"/>
        </w:rPr>
        <w:t>异常</w:t>
      </w:r>
      <w:r>
        <w:rPr>
          <w:sz w:val="21"/>
        </w:rPr>
        <w:t>情况判定</w:t>
      </w:r>
    </w:p>
    <w:p>
      <w:pPr>
        <w:pStyle w:val="null3"/>
        <w:jc w:val="both"/>
      </w:pPr>
      <w:r>
        <w:rPr>
          <w:sz w:val="21"/>
        </w:rPr>
        <w:t>出现以下数据时</w:t>
      </w:r>
      <w:r>
        <w:rPr>
          <w:sz w:val="21"/>
        </w:rPr>
        <w:t>，</w:t>
      </w:r>
      <w:r>
        <w:rPr>
          <w:sz w:val="21"/>
        </w:rPr>
        <w:t>应视情况采取标样核査、现场排査、留样复测</w:t>
      </w:r>
      <w:r>
        <w:rPr>
          <w:sz w:val="21"/>
        </w:rPr>
        <w:t>、</w:t>
      </w:r>
      <w:r>
        <w:rPr>
          <w:sz w:val="21"/>
        </w:rPr>
        <w:t>实际水样比对等措施</w:t>
      </w:r>
      <w:r>
        <w:rPr>
          <w:sz w:val="21"/>
        </w:rPr>
        <w:t>，</w:t>
      </w:r>
      <w:r>
        <w:rPr>
          <w:sz w:val="21"/>
        </w:rPr>
        <w:t>确认数据是否异常</w:t>
      </w:r>
      <w:r>
        <w:rPr>
          <w:sz w:val="21"/>
        </w:rPr>
        <w:t>：</w:t>
      </w:r>
    </w:p>
    <w:p>
      <w:pPr>
        <w:pStyle w:val="null3"/>
        <w:jc w:val="both"/>
      </w:pPr>
      <w:r>
        <w:rPr>
          <w:sz w:val="21"/>
        </w:rPr>
        <w:t>a）</w:t>
      </w:r>
      <w:r>
        <w:rPr>
          <w:sz w:val="21"/>
        </w:rPr>
        <w:t>带有异常标识的监测数据</w:t>
      </w:r>
      <w:r>
        <w:rPr>
          <w:sz w:val="21"/>
        </w:rPr>
        <w:t>；</w:t>
      </w:r>
    </w:p>
    <w:p>
      <w:pPr>
        <w:pStyle w:val="null3"/>
        <w:jc w:val="both"/>
      </w:pPr>
      <w:r>
        <w:rPr>
          <w:sz w:val="21"/>
        </w:rPr>
        <w:t>b）</w:t>
      </w:r>
      <w:r>
        <w:rPr>
          <w:sz w:val="21"/>
        </w:rPr>
        <w:t>自动监测仪器设备状态参数异常</w:t>
      </w:r>
      <w:r>
        <w:rPr>
          <w:sz w:val="21"/>
        </w:rPr>
        <w:t>、</w:t>
      </w:r>
      <w:r>
        <w:rPr>
          <w:sz w:val="21"/>
        </w:rPr>
        <w:t>运行日志异常或监测仪器设备故障的监测数据</w:t>
      </w:r>
      <w:r>
        <w:rPr>
          <w:sz w:val="21"/>
        </w:rPr>
        <w:t>；</w:t>
      </w:r>
    </w:p>
    <w:p>
      <w:pPr>
        <w:pStyle w:val="null3"/>
        <w:jc w:val="both"/>
      </w:pPr>
      <w:r>
        <w:rPr>
          <w:sz w:val="21"/>
        </w:rPr>
        <w:t>c）</w:t>
      </w:r>
      <w:r>
        <w:rPr>
          <w:sz w:val="21"/>
        </w:rPr>
        <w:t>通过监测项目之间相关性分析气象条件、水站所在地历史数据分析认为不合常理的监测</w:t>
      </w:r>
      <w:r>
        <w:rPr>
          <w:sz w:val="21"/>
        </w:rPr>
        <w:t>；</w:t>
      </w:r>
    </w:p>
    <w:p>
      <w:pPr>
        <w:pStyle w:val="null3"/>
        <w:jc w:val="both"/>
      </w:pPr>
      <w:r>
        <w:rPr>
          <w:sz w:val="21"/>
        </w:rPr>
        <w:t>d) 其他情况导致的异常数据。</w:t>
      </w:r>
    </w:p>
    <w:p>
      <w:pPr>
        <w:pStyle w:val="null3"/>
        <w:jc w:val="both"/>
      </w:pPr>
      <w:r>
        <w:rPr>
          <w:sz w:val="21"/>
        </w:rPr>
        <w:t>2）异常情况处置</w:t>
      </w:r>
    </w:p>
    <w:p>
      <w:pPr>
        <w:pStyle w:val="null3"/>
        <w:jc w:val="both"/>
      </w:pPr>
      <w:r>
        <w:rPr>
          <w:sz w:val="21"/>
        </w:rPr>
        <w:t>a）</w:t>
      </w:r>
      <w:r>
        <w:rPr>
          <w:sz w:val="21"/>
        </w:rPr>
        <w:t>确认仪器通讯存在障碍或仪器状态异常、仪器故障时</w:t>
      </w:r>
      <w:r>
        <w:rPr>
          <w:sz w:val="21"/>
        </w:rPr>
        <w:t>，</w:t>
      </w:r>
      <w:r>
        <w:rPr>
          <w:sz w:val="21"/>
        </w:rPr>
        <w:t>应尽快前往现场査明原因</w:t>
      </w:r>
      <w:r>
        <w:rPr>
          <w:sz w:val="21"/>
        </w:rPr>
        <w:t>，</w:t>
      </w:r>
      <w:r>
        <w:rPr>
          <w:sz w:val="21"/>
        </w:rPr>
        <w:t>处理故障</w:t>
      </w:r>
      <w:r>
        <w:rPr>
          <w:sz w:val="21"/>
        </w:rPr>
        <w:t>。</w:t>
      </w:r>
    </w:p>
    <w:p>
      <w:pPr>
        <w:pStyle w:val="null3"/>
        <w:jc w:val="both"/>
      </w:pPr>
      <w:r>
        <w:rPr>
          <w:sz w:val="21"/>
        </w:rPr>
        <w:t>b）</w:t>
      </w:r>
      <w:r>
        <w:rPr>
          <w:sz w:val="21"/>
        </w:rPr>
        <w:t>仪器或系统发生故障时</w:t>
      </w:r>
      <w:r>
        <w:rPr>
          <w:sz w:val="21"/>
        </w:rPr>
        <w:t>，</w:t>
      </w:r>
      <w:r>
        <w:rPr>
          <w:sz w:val="21"/>
        </w:rPr>
        <w:t>对于在现场能够诊断明确且可通过更换备件解决的问题</w:t>
      </w:r>
      <w:r>
        <w:rPr>
          <w:sz w:val="21"/>
        </w:rPr>
        <w:t>，</w:t>
      </w:r>
      <w:r>
        <w:rPr>
          <w:sz w:val="21"/>
        </w:rPr>
        <w:t>应在现场解决故障</w:t>
      </w:r>
      <w:r>
        <w:rPr>
          <w:sz w:val="21"/>
        </w:rPr>
        <w:t>；</w:t>
      </w:r>
      <w:r>
        <w:rPr>
          <w:sz w:val="21"/>
        </w:rPr>
        <w:t>对于其他不易诊断和检修的故障</w:t>
      </w:r>
      <w:r>
        <w:rPr>
          <w:sz w:val="21"/>
        </w:rPr>
        <w:t>，</w:t>
      </w:r>
      <w:r>
        <w:rPr>
          <w:sz w:val="21"/>
        </w:rPr>
        <w:t>或48h内无法排除的仪器故障</w:t>
      </w:r>
      <w:r>
        <w:rPr>
          <w:sz w:val="21"/>
        </w:rPr>
        <w:t>，</w:t>
      </w:r>
      <w:r>
        <w:rPr>
          <w:sz w:val="21"/>
        </w:rPr>
        <w:t>应采用备机替代发生故障的仪器</w:t>
      </w:r>
      <w:r>
        <w:rPr>
          <w:sz w:val="21"/>
        </w:rPr>
        <w:t>，</w:t>
      </w:r>
      <w:r>
        <w:rPr>
          <w:sz w:val="21"/>
        </w:rPr>
        <w:t>同时应对备机开展多点线性核査</w:t>
      </w:r>
      <w:r>
        <w:rPr>
          <w:sz w:val="21"/>
        </w:rPr>
        <w:t>，</w:t>
      </w:r>
      <w:r>
        <w:rPr>
          <w:sz w:val="21"/>
        </w:rPr>
        <w:t>并对监测数据进行分析</w:t>
      </w:r>
      <w:r>
        <w:rPr>
          <w:sz w:val="21"/>
        </w:rPr>
        <w:t>，</w:t>
      </w:r>
      <w:r>
        <w:rPr>
          <w:sz w:val="21"/>
        </w:rPr>
        <w:t>监测数据与更换备机前变化较大时</w:t>
      </w:r>
      <w:r>
        <w:rPr>
          <w:sz w:val="21"/>
        </w:rPr>
        <w:t>，</w:t>
      </w:r>
      <w:r>
        <w:rPr>
          <w:sz w:val="21"/>
        </w:rPr>
        <w:t>还应开展实际水样比对。</w:t>
      </w:r>
    </w:p>
    <w:p>
      <w:pPr>
        <w:pStyle w:val="null3"/>
        <w:jc w:val="both"/>
      </w:pPr>
      <w:r>
        <w:rPr>
          <w:sz w:val="21"/>
        </w:rPr>
        <w:t>c）</w:t>
      </w:r>
      <w:r>
        <w:rPr>
          <w:sz w:val="21"/>
        </w:rPr>
        <w:t>经核实确为监测项目测定结果对应的水质类别发生变化时</w:t>
      </w:r>
      <w:r>
        <w:rPr>
          <w:sz w:val="21"/>
        </w:rPr>
        <w:t>，</w:t>
      </w:r>
      <w:r>
        <w:rPr>
          <w:sz w:val="21"/>
        </w:rPr>
        <w:t>及时报送</w:t>
      </w:r>
      <w:r>
        <w:rPr>
          <w:sz w:val="21"/>
        </w:rPr>
        <w:t>甲方</w:t>
      </w:r>
      <w:r>
        <w:rPr>
          <w:sz w:val="21"/>
        </w:rPr>
        <w:t>。</w:t>
      </w:r>
    </w:p>
    <w:p>
      <w:pPr>
        <w:pStyle w:val="null3"/>
        <w:jc w:val="both"/>
      </w:pPr>
      <w:r>
        <w:rPr>
          <w:sz w:val="21"/>
        </w:rPr>
        <w:t>3）补充监测要求</w:t>
      </w:r>
    </w:p>
    <w:p>
      <w:pPr>
        <w:pStyle w:val="null3"/>
        <w:jc w:val="both"/>
      </w:pPr>
      <w:r>
        <w:rPr>
          <w:sz w:val="21"/>
        </w:rPr>
        <w:t>出现以下情况时，运维单位应按要求对所有监测项目开展人工补充监测工作：</w:t>
      </w:r>
    </w:p>
    <w:p>
      <w:pPr>
        <w:pStyle w:val="null3"/>
        <w:jc w:val="both"/>
      </w:pPr>
      <w:r>
        <w:rPr>
          <w:sz w:val="21"/>
        </w:rPr>
        <w:t>a）因</w:t>
      </w:r>
      <w:r>
        <w:rPr>
          <w:sz w:val="21"/>
        </w:rPr>
        <w:t>给水故障、采水设施故障或采水点位无法正常采水导致水站停运，在保证自动监测仪器满足相关质控要求的前提下，</w:t>
      </w:r>
      <w:r>
        <w:rPr>
          <w:sz w:val="21"/>
        </w:rPr>
        <w:t>乙方</w:t>
      </w:r>
      <w:r>
        <w:rPr>
          <w:sz w:val="21"/>
        </w:rPr>
        <w:t>可采取人工采水自动监测仪器补测的方式，保障水站仪器每日上传1-2组有效数据；也可人工取样送具有CMA资质的实验室分析，停运超过48小时补测1组实验室分析数据，后续每周保证2组实验室分析数据直至水站恢复正常运行</w:t>
      </w:r>
      <w:r>
        <w:rPr>
          <w:sz w:val="21"/>
        </w:rPr>
        <w:t>；</w:t>
      </w:r>
    </w:p>
    <w:p>
      <w:pPr>
        <w:pStyle w:val="null3"/>
        <w:jc w:val="both"/>
      </w:pPr>
      <w:r>
        <w:rPr>
          <w:sz w:val="21"/>
        </w:rPr>
        <w:t>b）因供电故障等基础保障原因，或因河道整治清淤、施工等因素导致水站停运，</w:t>
      </w:r>
      <w:r>
        <w:rPr>
          <w:sz w:val="21"/>
        </w:rPr>
        <w:t>超过48小时需补测1组实验室分析数据， 后续每周保证2组实验室分析数据直至水站恢复正常运行（两次补测间隔不得小于2天）</w:t>
      </w:r>
      <w:r>
        <w:rPr>
          <w:sz w:val="21"/>
        </w:rPr>
        <w:t>；</w:t>
      </w:r>
    </w:p>
    <w:p>
      <w:pPr>
        <w:pStyle w:val="null3"/>
        <w:jc w:val="both"/>
      </w:pPr>
      <w:r>
        <w:rPr>
          <w:sz w:val="21"/>
        </w:rPr>
        <w:t>c）监测水体受高泥沙、高浊度、高盐度、藻类聚集等复杂情况影响，导致自动监测数据准确度达不到要求；</w:t>
      </w:r>
    </w:p>
    <w:p>
      <w:pPr>
        <w:pStyle w:val="null3"/>
        <w:jc w:val="both"/>
      </w:pPr>
      <w:r>
        <w:rPr>
          <w:sz w:val="21"/>
        </w:rPr>
        <w:t>d）其他因水站升级改造等因素导致无法正常运行的情况。</w:t>
      </w:r>
    </w:p>
    <w:p>
      <w:pPr>
        <w:pStyle w:val="null3"/>
        <w:jc w:val="both"/>
      </w:pPr>
      <w:r>
        <w:rPr>
          <w:sz w:val="21"/>
        </w:rPr>
        <w:t>e）台风、风雪、地震、洪水、泥石流、塌方、断流、结/化冰期等不可抗力因素导致无法人工采样时,可不开展人工补充监测工作。</w:t>
      </w:r>
    </w:p>
    <w:p>
      <w:pPr>
        <w:pStyle w:val="null3"/>
        <w:jc w:val="both"/>
      </w:pPr>
      <w:r>
        <w:rPr>
          <w:sz w:val="21"/>
        </w:rPr>
        <w:t>（</w:t>
      </w:r>
      <w:r>
        <w:rPr>
          <w:sz w:val="21"/>
        </w:rPr>
        <w:t>9</w:t>
      </w:r>
      <w:r>
        <w:rPr>
          <w:sz w:val="21"/>
        </w:rPr>
        <w:t>）</w:t>
      </w:r>
      <w:r>
        <w:rPr>
          <w:sz w:val="21"/>
        </w:rPr>
        <w:t>运维档案与记录</w:t>
      </w:r>
    </w:p>
    <w:p>
      <w:pPr>
        <w:pStyle w:val="null3"/>
        <w:jc w:val="both"/>
      </w:pPr>
      <w:r>
        <w:rPr>
          <w:sz w:val="21"/>
        </w:rPr>
        <w:t>1</w:t>
      </w:r>
      <w:r>
        <w:rPr>
          <w:sz w:val="21"/>
        </w:rPr>
        <w:t>）</w:t>
      </w:r>
      <w:r>
        <w:rPr>
          <w:sz w:val="21"/>
        </w:rPr>
        <w:t>技术档案和运维记录的基本要求</w:t>
      </w:r>
    </w:p>
    <w:p>
      <w:pPr>
        <w:pStyle w:val="null3"/>
        <w:jc w:val="both"/>
      </w:pPr>
      <w:r>
        <w:rPr>
          <w:sz w:val="21"/>
        </w:rPr>
        <w:t>①　水站运行技术档案包括仪器的说明书、系统安装调试记录、试运行记录、验收监测记录、质控报告、仪器的适用性检测报告以及各类运行记录；</w:t>
      </w:r>
    </w:p>
    <w:p>
      <w:pPr>
        <w:pStyle w:val="null3"/>
        <w:jc w:val="both"/>
      </w:pPr>
      <w:r>
        <w:rPr>
          <w:sz w:val="21"/>
        </w:rPr>
        <w:t>②　运行记录应清晰、完整、填报及时。</w:t>
      </w:r>
    </w:p>
    <w:p>
      <w:pPr>
        <w:pStyle w:val="null3"/>
        <w:jc w:val="both"/>
      </w:pPr>
      <w:r>
        <w:rPr>
          <w:sz w:val="21"/>
        </w:rPr>
        <w:t>2</w:t>
      </w:r>
      <w:r>
        <w:rPr>
          <w:sz w:val="21"/>
        </w:rPr>
        <w:t>）</w:t>
      </w:r>
      <w:r>
        <w:rPr>
          <w:sz w:val="21"/>
        </w:rPr>
        <w:t>运维记录</w:t>
      </w:r>
      <w:r>
        <w:rPr>
          <w:sz w:val="21"/>
        </w:rPr>
        <w:t>基本</w:t>
      </w:r>
      <w:r>
        <w:rPr>
          <w:sz w:val="21"/>
        </w:rPr>
        <w:t>要求</w:t>
      </w:r>
    </w:p>
    <w:p>
      <w:pPr>
        <w:pStyle w:val="null3"/>
        <w:jc w:val="both"/>
      </w:pPr>
      <w:r>
        <w:rPr>
          <w:sz w:val="21"/>
        </w:rPr>
        <w:t>乙方</w:t>
      </w:r>
      <w:r>
        <w:rPr>
          <w:sz w:val="21"/>
        </w:rPr>
        <w:t>应按照管理需求记录水站运行情况和维护情况,记录形式不限,应至少包括以下基本内容</w:t>
      </w:r>
      <w:r>
        <w:rPr>
          <w:sz w:val="21"/>
        </w:rPr>
        <w:t>。</w:t>
      </w:r>
    </w:p>
    <w:p>
      <w:pPr>
        <w:pStyle w:val="null3"/>
        <w:jc w:val="both"/>
      </w:pPr>
      <w:r>
        <w:rPr>
          <w:sz w:val="21"/>
        </w:rPr>
        <w:t>①　</w:t>
      </w:r>
      <w:r>
        <w:rPr>
          <w:sz w:val="21"/>
        </w:rPr>
        <w:t>水站检查维护记录</w:t>
      </w:r>
      <w:r>
        <w:rPr>
          <w:sz w:val="21"/>
        </w:rPr>
        <w:t>，</w:t>
      </w:r>
      <w:r>
        <w:rPr>
          <w:sz w:val="21"/>
        </w:rPr>
        <w:t>应包含水站名称、维护日期、运维单位</w:t>
      </w:r>
      <w:r>
        <w:rPr>
          <w:sz w:val="21"/>
        </w:rPr>
        <w:t>、</w:t>
      </w:r>
      <w:r>
        <w:rPr>
          <w:sz w:val="21"/>
        </w:rPr>
        <w:t>维护人员</w:t>
      </w:r>
      <w:r>
        <w:rPr>
          <w:sz w:val="21"/>
        </w:rPr>
        <w:t>、</w:t>
      </w:r>
      <w:r>
        <w:rPr>
          <w:sz w:val="21"/>
        </w:rPr>
        <w:t>检查维护内容及处理说明等</w:t>
      </w:r>
      <w:r>
        <w:rPr>
          <w:sz w:val="21"/>
        </w:rPr>
        <w:t>；</w:t>
      </w:r>
    </w:p>
    <w:p>
      <w:pPr>
        <w:pStyle w:val="null3"/>
        <w:jc w:val="both"/>
      </w:pPr>
      <w:r>
        <w:rPr>
          <w:sz w:val="21"/>
        </w:rPr>
        <w:t>② 仪器设备检修记录，应包含水站名称、维护日期、运维单位、维护人员、故障仪器设备型号及编号、故障情况及发生时间、检修情况说明、部件更换说明、修复后质控测试情况说明、正常投入使用时间等信息；</w:t>
      </w:r>
    </w:p>
    <w:p>
      <w:pPr>
        <w:pStyle w:val="null3"/>
        <w:jc w:val="both"/>
      </w:pPr>
      <w:r>
        <w:rPr>
          <w:sz w:val="21"/>
        </w:rPr>
        <w:t xml:space="preserve">③ </w:t>
      </w:r>
      <w:r>
        <w:rPr>
          <w:sz w:val="21"/>
        </w:rPr>
        <w:t>水站仪器关键参数设置及变更记录,应包含水站名称、设置时间或变更时间、仪器名称及型号、测量原理及分析方法、关键参数变更后情况及变更原因说明</w:t>
      </w:r>
      <w:r>
        <w:rPr>
          <w:sz w:val="21"/>
        </w:rPr>
        <w:t>；</w:t>
      </w:r>
    </w:p>
    <w:p>
      <w:pPr>
        <w:pStyle w:val="null3"/>
        <w:jc w:val="both"/>
      </w:pPr>
      <w:r>
        <w:rPr>
          <w:sz w:val="21"/>
        </w:rPr>
        <w:t xml:space="preserve">④ </w:t>
      </w:r>
      <w:r>
        <w:rPr>
          <w:sz w:val="21"/>
        </w:rPr>
        <w:t>水站试剂及标准样品更换记录</w:t>
      </w:r>
      <w:r>
        <w:rPr>
          <w:sz w:val="21"/>
        </w:rPr>
        <w:t>，</w:t>
      </w:r>
      <w:r>
        <w:rPr>
          <w:sz w:val="21"/>
        </w:rPr>
        <w:t>应包含水站名称、维护日期、运维单位、维护人员、仪器名称试剂名称、标准样品浓度、试剂体积、试剂配置时间、试剂有效期、试剂更换时间等信息</w:t>
      </w:r>
      <w:r>
        <w:rPr>
          <w:sz w:val="21"/>
        </w:rPr>
        <w:t>；</w:t>
      </w:r>
    </w:p>
    <w:p>
      <w:pPr>
        <w:pStyle w:val="null3"/>
        <w:jc w:val="both"/>
      </w:pPr>
      <w:r>
        <w:rPr>
          <w:sz w:val="21"/>
        </w:rPr>
        <w:t xml:space="preserve">⑤ </w:t>
      </w:r>
      <w:r>
        <w:rPr>
          <w:sz w:val="21"/>
        </w:rPr>
        <w:t>易耗品和备品备件更换记录</w:t>
      </w:r>
      <w:r>
        <w:rPr>
          <w:sz w:val="21"/>
        </w:rPr>
        <w:t>，</w:t>
      </w:r>
      <w:r>
        <w:rPr>
          <w:sz w:val="21"/>
        </w:rPr>
        <w:t>应包含水站名称、维护日期、运维单位、维护人员、易耗品/备品备件名称、规格型号、更换日期、更换原因说明等信息</w:t>
      </w:r>
      <w:r>
        <w:rPr>
          <w:sz w:val="21"/>
        </w:rPr>
        <w:t>；</w:t>
      </w:r>
    </w:p>
    <w:p>
      <w:pPr>
        <w:pStyle w:val="null3"/>
        <w:jc w:val="both"/>
      </w:pPr>
      <w:r>
        <w:rPr>
          <w:sz w:val="21"/>
        </w:rPr>
        <w:t xml:space="preserve">⑥ </w:t>
      </w:r>
      <w:r>
        <w:rPr>
          <w:sz w:val="21"/>
        </w:rPr>
        <w:t>应记录废液收集量、收集时间、转运记录等信息</w:t>
      </w:r>
      <w:r>
        <w:rPr>
          <w:sz w:val="21"/>
        </w:rPr>
        <w:t>；</w:t>
      </w:r>
    </w:p>
    <w:p>
      <w:pPr>
        <w:pStyle w:val="null3"/>
        <w:jc w:val="both"/>
      </w:pPr>
      <w:r>
        <w:rPr>
          <w:sz w:val="21"/>
        </w:rPr>
        <w:t xml:space="preserve">⑦ </w:t>
      </w:r>
      <w:r>
        <w:rPr>
          <w:sz w:val="21"/>
        </w:rPr>
        <w:t>运维记录应清晰、完整</w:t>
      </w:r>
      <w:r>
        <w:rPr>
          <w:sz w:val="21"/>
        </w:rPr>
        <w:t>，</w:t>
      </w:r>
      <w:r>
        <w:rPr>
          <w:sz w:val="21"/>
        </w:rPr>
        <w:t>平台具备填报功能的可通过平台填报</w:t>
      </w:r>
      <w:r>
        <w:rPr>
          <w:sz w:val="21"/>
        </w:rPr>
        <w:t>，</w:t>
      </w:r>
      <w:r>
        <w:rPr>
          <w:sz w:val="21"/>
        </w:rPr>
        <w:t>平台不具备的应在现场及时填写</w:t>
      </w:r>
      <w:r>
        <w:rPr>
          <w:sz w:val="21"/>
        </w:rPr>
        <w:t>，</w:t>
      </w:r>
      <w:r>
        <w:rPr>
          <w:sz w:val="21"/>
        </w:rPr>
        <w:t>与仅器相关的记录可放置在现场并妥善保存</w:t>
      </w:r>
      <w:r>
        <w:rPr>
          <w:sz w:val="21"/>
        </w:rPr>
        <w:t>；</w:t>
      </w:r>
    </w:p>
    <w:p>
      <w:pPr>
        <w:pStyle w:val="null3"/>
        <w:jc w:val="both"/>
      </w:pPr>
      <w:r>
        <w:rPr>
          <w:sz w:val="21"/>
        </w:rPr>
        <w:t>3）运维记录表格</w:t>
      </w:r>
    </w:p>
    <w:p>
      <w:pPr>
        <w:pStyle w:val="null3"/>
        <w:jc w:val="both"/>
      </w:pPr>
      <w:r>
        <w:rPr>
          <w:sz w:val="21"/>
        </w:rPr>
        <w:t>运行记录表格参见</w:t>
      </w:r>
      <w:r>
        <w:rPr>
          <w:sz w:val="21"/>
        </w:rPr>
        <w:t>《</w:t>
      </w:r>
      <w:r>
        <w:rPr>
          <w:sz w:val="21"/>
        </w:rPr>
        <w:t>地表水水质自动监测站（常规五参数、COD</w:t>
      </w:r>
      <w:r>
        <w:rPr>
          <w:sz w:val="21"/>
          <w:vertAlign w:val="subscript"/>
        </w:rPr>
        <w:t>Mn</w:t>
      </w:r>
      <w:r>
        <w:rPr>
          <w:sz w:val="21"/>
        </w:rPr>
        <w:t>、NH</w:t>
      </w:r>
      <w:r>
        <w:rPr>
          <w:sz w:val="21"/>
          <w:vertAlign w:val="subscript"/>
        </w:rPr>
        <w:t>3</w:t>
      </w:r>
      <w:r>
        <w:rPr>
          <w:sz w:val="21"/>
        </w:rPr>
        <w:t>-N、TP、TN</w:t>
      </w:r>
      <w:r>
        <w:rPr>
          <w:sz w:val="21"/>
        </w:rPr>
        <w:t>）运行维护技术规范</w:t>
      </w:r>
      <w:r>
        <w:rPr>
          <w:sz w:val="21"/>
        </w:rPr>
        <w:t>》</w:t>
      </w:r>
      <w:r>
        <w:rPr>
          <w:sz w:val="21"/>
        </w:rPr>
        <w:t>附录B</w:t>
      </w:r>
      <w:r>
        <w:rPr>
          <w:sz w:val="21"/>
        </w:rPr>
        <w:t>—</w:t>
      </w:r>
      <w:r>
        <w:rPr>
          <w:sz w:val="21"/>
        </w:rPr>
        <w:t>附录D</w:t>
      </w:r>
      <w:r>
        <w:rPr>
          <w:sz w:val="21"/>
        </w:rPr>
        <w:t>，</w:t>
      </w:r>
      <w:r>
        <w:rPr>
          <w:sz w:val="21"/>
        </w:rPr>
        <w:t>其中巡检维护记录表参见附</w:t>
      </w:r>
      <w:r>
        <w:rPr>
          <w:sz w:val="21"/>
        </w:rPr>
        <w:t>录</w:t>
      </w:r>
      <w:r>
        <w:rPr>
          <w:sz w:val="21"/>
        </w:rPr>
        <w:t>B</w:t>
      </w:r>
      <w:r>
        <w:rPr>
          <w:sz w:val="21"/>
        </w:rPr>
        <w:t>、</w:t>
      </w:r>
      <w:r>
        <w:rPr>
          <w:sz w:val="21"/>
        </w:rPr>
        <w:t>检修记录表参见附录C、易耗品更换记录表参见附录D。</w:t>
      </w:r>
      <w:r>
        <w:rPr>
          <w:sz w:val="21"/>
        </w:rPr>
        <w:t>乙方</w:t>
      </w:r>
      <w:r>
        <w:rPr>
          <w:sz w:val="21"/>
        </w:rPr>
        <w:t>可根据实际需求及管理需求调整或增加不同的表格。</w:t>
      </w:r>
    </w:p>
    <w:p>
      <w:pPr>
        <w:pStyle w:val="null3"/>
        <w:jc w:val="both"/>
      </w:pPr>
      <w:r>
        <w:rPr>
          <w:sz w:val="21"/>
        </w:rPr>
        <w:t>（</w:t>
      </w:r>
      <w:r>
        <w:rPr>
          <w:sz w:val="21"/>
        </w:rPr>
        <w:t>2</w:t>
      </w:r>
      <w:r>
        <w:rPr>
          <w:sz w:val="21"/>
        </w:rPr>
        <w:t>）</w:t>
      </w:r>
      <w:r>
        <w:rPr>
          <w:sz w:val="21"/>
        </w:rPr>
        <w:t>运行考核</w:t>
      </w:r>
    </w:p>
    <w:p>
      <w:pPr>
        <w:pStyle w:val="null3"/>
        <w:jc w:val="both"/>
      </w:pPr>
      <w:r>
        <w:rPr>
          <w:sz w:val="21"/>
        </w:rPr>
        <w:t>甲方</w:t>
      </w:r>
      <w:r>
        <w:rPr>
          <w:sz w:val="21"/>
        </w:rPr>
        <w:t>组织开展运维管理和质控考核，</w:t>
      </w:r>
      <w:r>
        <w:rPr>
          <w:sz w:val="21"/>
        </w:rPr>
        <w:t>乙方</w:t>
      </w:r>
      <w:r>
        <w:rPr>
          <w:sz w:val="21"/>
        </w:rPr>
        <w:t>达不到要求的，</w:t>
      </w:r>
      <w:r>
        <w:rPr>
          <w:sz w:val="21"/>
        </w:rPr>
        <w:t>甲方</w:t>
      </w:r>
      <w:r>
        <w:rPr>
          <w:sz w:val="21"/>
        </w:rPr>
        <w:t>有权扣减相应的数据服务费或终止服务合同。</w:t>
      </w:r>
    </w:p>
    <w:p>
      <w:pPr>
        <w:pStyle w:val="null3"/>
        <w:jc w:val="both"/>
      </w:pPr>
      <w:r>
        <w:rPr>
          <w:sz w:val="21"/>
        </w:rPr>
        <w:t>当出现《环境监测数据弄虚作假行为判定及处理办法》中规定的篡改、伪造或者指使篡改、伪造监测数据等行为时，</w:t>
      </w:r>
      <w:r>
        <w:rPr>
          <w:sz w:val="21"/>
        </w:rPr>
        <w:t>甲方</w:t>
      </w:r>
      <w:r>
        <w:rPr>
          <w:sz w:val="21"/>
        </w:rPr>
        <w:t>将有权单方面终止服务合同，依照国家法律法规和有关规定予以处理</w:t>
      </w:r>
      <w:r>
        <w:rPr>
          <w:sz w:val="21"/>
        </w:rPr>
        <w:t>。</w:t>
      </w:r>
      <w:r>
        <w:rPr>
          <w:sz w:val="21"/>
        </w:rPr>
        <w:t>。</w:t>
      </w:r>
    </w:p>
    <w:p>
      <w:pPr>
        <w:pStyle w:val="null3"/>
        <w:jc w:val="both"/>
      </w:pPr>
      <w:r>
        <w:rPr>
          <w:sz w:val="21"/>
          <w:b/>
        </w:rPr>
        <w:t>（三）监测数据分析服务要求</w:t>
      </w:r>
    </w:p>
    <w:p>
      <w:pPr>
        <w:pStyle w:val="null3"/>
        <w:jc w:val="both"/>
      </w:pPr>
      <w:r>
        <w:rPr>
          <w:sz w:val="21"/>
        </w:rPr>
        <w:t>本项目监测数据需接入顺德区生态环境综合管理平台，同时提供监测数据分析平台。具体要求如下：</w:t>
      </w:r>
    </w:p>
    <w:p>
      <w:pPr>
        <w:pStyle w:val="null3"/>
        <w:jc w:val="both"/>
      </w:pPr>
      <w:r>
        <w:rPr>
          <w:sz w:val="21"/>
        </w:rPr>
        <w:t>1.监测数据分析平台要求</w:t>
      </w:r>
    </w:p>
    <w:p>
      <w:pPr>
        <w:pStyle w:val="null3"/>
        <w:jc w:val="both"/>
      </w:pPr>
      <w:r>
        <w:rPr>
          <w:sz w:val="21"/>
        </w:rPr>
        <w:t>（1）监测数据分析平台总体要求</w:t>
      </w:r>
    </w:p>
    <w:p>
      <w:pPr>
        <w:pStyle w:val="null3"/>
        <w:jc w:val="both"/>
      </w:pPr>
      <w:r>
        <w:rPr>
          <w:sz w:val="21"/>
        </w:rPr>
        <w:t>监测数据分析平台以地图方式形象立体展现所有监测断面，展示内容含站点位置、水质状况、站点基本信息等；基于各流域内的监测断面的某项监测数据，利用插值分析方法，以渲染图的形式直观显示整个流域的水质状况；以看板形式综合显示区域水环境的概况，包括站点联网情况、超标情况、实时水质排名等；采用不同颜色标识不同状态（例如离线、故障、超标等），以卡片方式实时显示各监测断面的实时数据及水质评价结果，一目了然。</w:t>
      </w:r>
    </w:p>
    <w:p>
      <w:pPr>
        <w:pStyle w:val="null3"/>
        <w:jc w:val="both"/>
      </w:pPr>
      <w:r>
        <w:rPr>
          <w:sz w:val="21"/>
        </w:rPr>
        <w:t>（2）监测数据分析平台数据要求</w:t>
      </w:r>
    </w:p>
    <w:p>
      <w:pPr>
        <w:pStyle w:val="null3"/>
        <w:jc w:val="both"/>
      </w:pPr>
      <w:r>
        <w:rPr>
          <w:sz w:val="21"/>
        </w:rPr>
        <w:t>监测数据分析平台以表格形式跟踪记录过去时段的监测数据，并采用不同颜色以标识不同状态（例如超测上限、维护、设备故障等）；可对异常数据进行过滤筛选查询；可导出到excel方便查看。对质控数据具备查看及分析功能，能够对零点核查、跨度核查数据进行记录并分析24h漂移量，能够对加标回收、标液核查、多点线性核查、集成干预检查、实际水样比对数据进行记录并分析合格性。以表格方式呈现天、周、月、年报表，并可导出成excel、pdf；以图形、曲线方式多元立体化展现统计数据。提供给管理人员每次进行了手工取水实验室分析后，将手工监测数据录入到系统中，起到数据保存的同时可用作对比在线分析仪器的日常分析的数据是否合理，评估分析仪器的工作情况。各站点上传的数据需经</w:t>
      </w:r>
      <w:r>
        <w:rPr>
          <w:sz w:val="21"/>
        </w:rPr>
        <w:t>乙方</w:t>
      </w:r>
      <w:r>
        <w:rPr>
          <w:sz w:val="21"/>
        </w:rPr>
        <w:t>审核，将无效或异常数据打上标识，并可查看审核记录。</w:t>
      </w:r>
    </w:p>
    <w:p>
      <w:pPr>
        <w:pStyle w:val="null3"/>
        <w:jc w:val="both"/>
      </w:pPr>
      <w:r>
        <w:rPr>
          <w:sz w:val="21"/>
        </w:rPr>
        <w:t>（3）监测数据分析平台其他要求</w:t>
      </w:r>
    </w:p>
    <w:p>
      <w:pPr>
        <w:pStyle w:val="null3"/>
        <w:jc w:val="both"/>
      </w:pPr>
      <w:r>
        <w:rPr>
          <w:sz w:val="21"/>
        </w:rPr>
        <w:t>监测数据分析平台可以实时读取当前监测系统的状态，并实现系统反控，通过可视化的直观界面下发反控命令后应实时更新系统状态，通过反馈的信息，以确认是否执行成功；可以对监控站、监测点、设备根据实际需求进行设置；可以对异常数据进行短信报警或APP报警信息推送。本项目需配套微信小程序，可以实时查看监测数据、报警信息、数据综合分析、远程质控、仪器参数配置、仪器日志查询等。</w:t>
      </w:r>
    </w:p>
    <w:p>
      <w:pPr>
        <w:pStyle w:val="null3"/>
        <w:jc w:val="both"/>
      </w:pPr>
      <w:r>
        <w:rPr>
          <w:sz w:val="21"/>
          <w:b/>
        </w:rPr>
        <w:t>（四）考核要求</w:t>
      </w:r>
    </w:p>
    <w:p>
      <w:pPr>
        <w:pStyle w:val="null3"/>
        <w:jc w:val="both"/>
      </w:pPr>
      <w:r>
        <w:rPr>
          <w:sz w:val="21"/>
        </w:rPr>
        <w:t>自正式提供数据服务起</w:t>
      </w:r>
      <w:r>
        <w:rPr>
          <w:sz w:val="21"/>
        </w:rPr>
        <w:t>，</w:t>
      </w:r>
      <w:r>
        <w:rPr>
          <w:sz w:val="21"/>
        </w:rPr>
        <w:t>分</w:t>
      </w:r>
      <w:r>
        <w:rPr>
          <w:sz w:val="21"/>
        </w:rPr>
        <w:t>三</w:t>
      </w:r>
      <w:r>
        <w:rPr>
          <w:sz w:val="21"/>
        </w:rPr>
        <w:t>个服务周期，前</w:t>
      </w:r>
      <w:r>
        <w:rPr>
          <w:sz w:val="21"/>
        </w:rPr>
        <w:t>两</w:t>
      </w:r>
      <w:r>
        <w:rPr>
          <w:sz w:val="21"/>
        </w:rPr>
        <w:t>个服务周期以三个月为一个周期，第</w:t>
      </w:r>
      <w:r>
        <w:rPr>
          <w:sz w:val="21"/>
        </w:rPr>
        <w:t>三</w:t>
      </w:r>
      <w:r>
        <w:rPr>
          <w:sz w:val="21"/>
        </w:rPr>
        <w:t>个服务周期以四个月为一个周期，每服务周期对</w:t>
      </w:r>
      <w:r>
        <w:rPr>
          <w:sz w:val="21"/>
        </w:rPr>
        <w:t>乙方</w:t>
      </w:r>
      <w:r>
        <w:rPr>
          <w:sz w:val="21"/>
        </w:rPr>
        <w:t>开展一次工作考核，满分为100分。</w:t>
      </w:r>
    </w:p>
    <w:p>
      <w:pPr>
        <w:pStyle w:val="null3"/>
        <w:jc w:val="both"/>
      </w:pPr>
      <w:r>
        <w:rPr>
          <w:sz w:val="21"/>
        </w:rPr>
        <w:t>1.按服务周期对每个站点单独考核，其中单次考核结果≥80分为合格，考核合格后按照合同要求支付该周期的服务费。</w:t>
      </w:r>
    </w:p>
    <w:p>
      <w:pPr>
        <w:pStyle w:val="null3"/>
        <w:jc w:val="both"/>
      </w:pPr>
      <w:r>
        <w:rPr>
          <w:sz w:val="21"/>
        </w:rPr>
        <w:t>2.70分≤单次考核结果＜80分的，按比例扣除该站点周期服务费的10%，并责令整改。</w:t>
      </w:r>
    </w:p>
    <w:p>
      <w:pPr>
        <w:pStyle w:val="null3"/>
        <w:jc w:val="both"/>
      </w:pPr>
      <w:r>
        <w:rPr>
          <w:sz w:val="21"/>
        </w:rPr>
        <w:t>3.60≤单次考核结果＜70分的，按比例扣除该站点周期服务费的40%，并责令整改。</w:t>
      </w:r>
    </w:p>
    <w:p>
      <w:pPr>
        <w:pStyle w:val="null3"/>
        <w:jc w:val="both"/>
      </w:pPr>
      <w:r>
        <w:rPr>
          <w:sz w:val="21"/>
        </w:rPr>
        <w:t>4.单次考核结果＜60分的，警告并扣除该站点周期服务费。</w:t>
      </w:r>
    </w:p>
    <w:p>
      <w:pPr>
        <w:pStyle w:val="null3"/>
        <w:jc w:val="both"/>
      </w:pPr>
      <w:r>
        <w:rPr>
          <w:sz w:val="21"/>
        </w:rPr>
        <w:t>5.一服务周期内各站点累计出现三次以上（含三次）警告情况，扣除当周期全部站点服务费用。一服务周期内各站点累计出现五次以上（含五次）警告情况，扣除当周期全部站点服务费用并解除服务合同（解除合同时</w:t>
      </w:r>
      <w:r>
        <w:rPr>
          <w:sz w:val="21"/>
        </w:rPr>
        <w:t>，</w:t>
      </w:r>
      <w:r>
        <w:rPr>
          <w:sz w:val="21"/>
        </w:rPr>
        <w:t>累计应支付的服务费少于已支付的服务费时，乙方应退回差额部分</w:t>
      </w:r>
      <w:r>
        <w:rPr>
          <w:sz w:val="21"/>
        </w:rPr>
        <w:t>），报政府采购监督管理部门备案。</w:t>
      </w:r>
    </w:p>
    <w:p>
      <w:pPr>
        <w:pStyle w:val="null3"/>
        <w:jc w:val="both"/>
      </w:pPr>
      <w:r>
        <w:rPr>
          <w:sz w:val="21"/>
        </w:rPr>
        <w:t>6.一旦发现弄虚作假、虚假数据，</w:t>
      </w:r>
      <w:r>
        <w:rPr>
          <w:sz w:val="21"/>
        </w:rPr>
        <w:t>甲方</w:t>
      </w:r>
      <w:r>
        <w:rPr>
          <w:sz w:val="21"/>
        </w:rPr>
        <w:t>有权单方面终止合同，报政府采购监督管理部门备案，并按周期服务费的双倍进行经济处罚。</w:t>
      </w:r>
    </w:p>
    <w:p>
      <w:pPr>
        <w:pStyle w:val="null3"/>
        <w:jc w:val="both"/>
      </w:pPr>
      <w:r>
        <w:rPr>
          <w:sz w:val="21"/>
        </w:rPr>
        <w:t>7.周期服务费=合同金额</w:t>
      </w:r>
      <w:r>
        <w:rPr>
          <w:sz w:val="21"/>
        </w:rPr>
        <w:t>×</w:t>
      </w:r>
      <w:r>
        <w:rPr>
          <w:sz w:val="21"/>
        </w:rPr>
        <w:t>该周期月数/</w:t>
      </w:r>
      <w:r>
        <w:rPr>
          <w:sz w:val="21"/>
        </w:rPr>
        <w:t>10</w:t>
      </w:r>
      <w:r>
        <w:rPr/>
        <w:t>，单个站点每周期服务费=每周期服务费/15。</w:t>
      </w:r>
    </w:p>
    <w:p>
      <w:pPr>
        <w:pStyle w:val="null3"/>
        <w:jc w:val="both"/>
      </w:pPr>
      <w:r>
        <w:rPr>
          <w:sz w:val="21"/>
        </w:rPr>
        <w:t>附表：</w:t>
      </w:r>
    </w:p>
    <w:tbl>
      <w:tblPr>
        <w:tblW w:w="0" w:type="auto"/>
        <w:tblBorders>
          <w:top w:val="none" w:color="000000" w:sz="4"/>
          <w:left w:val="none" w:color="000000" w:sz="4"/>
          <w:bottom w:val="none" w:color="000000" w:sz="4"/>
          <w:right w:val="none" w:color="000000" w:sz="4"/>
          <w:insideH w:val="none"/>
          <w:insideV w:val="none"/>
        </w:tblBorders>
      </w:tblPr>
      <w:tblGrid>
        <w:gridCol w:w="618"/>
        <w:gridCol w:w="1104"/>
        <w:gridCol w:w="3239"/>
        <w:gridCol w:w="1899"/>
        <w:gridCol w:w="707"/>
        <w:gridCol w:w="736"/>
      </w:tblGrid>
      <w:tr>
        <w:tc>
          <w:tcPr>
            <w:tcW w:type="dxa" w:w="496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扣分结果</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扣分说明</w:t>
            </w:r>
          </w:p>
        </w:tc>
      </w:tr>
      <w:tr>
        <w:tc>
          <w:tcPr>
            <w:tcW w:type="dxa" w:w="6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服务内容</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远程检查数据</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每天8:00—22:00，专人负责通过数据平台对监测仪器状态实施监控。监控时段内仪器故障发现时间不得超过1小时，非监控时段内仪器故障发现时间不得晚于次日8:30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错、漏1次扣1分</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会商与信息交流</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出现仪器故障、监测数据异常等情况时以电话和书面形式及时上报</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错、漏1次扣1分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子站现场巡检</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频次：不少于1次/（站•周）。巡检内容和记录要素，</w:t>
            </w:r>
            <w:r>
              <w:rPr>
                <w:sz w:val="21"/>
              </w:rPr>
              <w:t>主</w:t>
            </w:r>
            <w:r>
              <w:rPr>
                <w:sz w:val="21"/>
              </w:rPr>
              <w:t>要包括子站监测系统所有功能单元的最新运行情况和现场检查维护情况，反映在巡检记录表上的巡检内容和记录要素必须完整，并与实际子站情况相符，记录内容不完整、不规范和弄虚作假的当作缺检计算，每月的前3天内，提交上月子站巡检记录，每季前5天进行上一季情况汇总。</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错、漏1次巡检扣1分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故障排除</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检修到场与故障排除（指恢复正常运行，不可抗力的破坏以及如停电停水、预防性维护、受控备件供应不上等情况除外）必须及时：2小时内到达故障现场，水质应急事件必须1小时内到达现场，并在24小时内解决所有的故障，如故障不能排除，应马上更换备机；如在规定时间内无法恢复正常运行，则按要求规定一周两次手工采样，并委托有资质的单位进行手工分析，每周一8：30上报手工采样数据（附原始报告）</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每个参数不响应1次或超过时限每天扣1分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子站全面维护</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按照相关要求进行维护工作</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错、漏1次扣1分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数据有效率</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每个站点单独核算数据有效率</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数据有效率为X，按（100%-X）扣分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质量控制</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按要求的周期对每个参数实施质量控制</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错、漏1个参数1次1分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数据保密</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不论何时，</w:t>
            </w:r>
            <w:r>
              <w:rPr>
                <w:sz w:val="21"/>
              </w:rPr>
              <w:t>乙方</w:t>
            </w:r>
            <w:r>
              <w:rPr>
                <w:sz w:val="21"/>
              </w:rPr>
              <w:t>都应承担监测数据的保密责任；</w:t>
            </w:r>
            <w:r>
              <w:rPr>
                <w:sz w:val="21"/>
              </w:rPr>
              <w:t>乙方</w:t>
            </w:r>
            <w:r>
              <w:rPr>
                <w:sz w:val="21"/>
              </w:rPr>
              <w:t>按照</w:t>
            </w:r>
            <w:r>
              <w:rPr>
                <w:sz w:val="21"/>
              </w:rPr>
              <w:t>甲方</w:t>
            </w:r>
            <w:r>
              <w:rPr>
                <w:sz w:val="21"/>
              </w:rPr>
              <w:t>的要求，进行报告和传输有关的监测数据，未经</w:t>
            </w:r>
            <w:r>
              <w:rPr>
                <w:sz w:val="21"/>
              </w:rPr>
              <w:t>甲方</w:t>
            </w:r>
            <w:r>
              <w:rPr>
                <w:sz w:val="21"/>
              </w:rPr>
              <w:t>同意，不得以任何方式和渠道向外界传递任何监测数据。</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发现1次扣21分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按规范要求做好日常相关记录表格，每月交一次所有记录给</w:t>
            </w:r>
            <w:r>
              <w:rPr>
                <w:sz w:val="21"/>
              </w:rPr>
              <w:t>甲方</w:t>
            </w:r>
            <w:r>
              <w:rPr>
                <w:sz w:val="21"/>
              </w:rPr>
              <w:t>审查。</w:t>
            </w:r>
            <w:r>
              <w:rPr>
                <w:sz w:val="21"/>
              </w:rPr>
              <w:t>甲方</w:t>
            </w:r>
            <w:r>
              <w:rPr>
                <w:sz w:val="21"/>
              </w:rPr>
              <w:t>可随时抽查记录内容，</w:t>
            </w:r>
            <w:r>
              <w:rPr>
                <w:sz w:val="21"/>
              </w:rPr>
              <w:t>乙方</w:t>
            </w:r>
            <w:r>
              <w:rPr>
                <w:sz w:val="21"/>
              </w:rPr>
              <w:t>须及时提供，不得阻挠、拖延、伪造。</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期限内缺1份扣1分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监测数据分析平台功能</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按照监测数据分析平台技术要求提供相关功能及服务。如果相关功能出现故障，必须24小时内排除故障（指恢复正常运行，不可抗力的破坏以及如停电停水、预防性维护、受控备件供应不上等情况除外）。</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每个功能不响应1次扣1分；超过故障排除时限，每个不响应的功能每天扣2分。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质控考核</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接受本单位或上级部门考核的定期或不定期考核</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上级部门考核不合格1次扣21分；本单位内部考核1个参数1次不合格扣2分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工作人员按要求开展各项工作</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工作拖拉、推诿、态度恶劣、语言过激造成不良影响的扣5分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记录、报告规范</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所有记录须字体清晰，不得模糊潦草，并按规范填写相应内容。</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1项扣0.5分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其他（是否存在不满足合同或相关规范要求的情况）</w:t>
            </w: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不满足合同或相关规范要求，</w:t>
            </w:r>
          </w:p>
          <w:p>
            <w:pPr>
              <w:pStyle w:val="null3"/>
              <w:jc w:val="center"/>
            </w:pPr>
            <w:r>
              <w:rPr>
                <w:sz w:val="21"/>
              </w:rPr>
              <w:t>但对数据不造成影响的项目</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每1项扣1分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vMerge/>
            <w:tcBorders>
              <w:top w:val="none" w:color="000000" w:sz="4"/>
              <w:left w:val="none" w:color="000000" w:sz="4"/>
              <w:bottom w:val="none" w:color="000000" w:sz="4"/>
              <w:right w:val="single" w:color="000000" w:sz="4"/>
            </w:tcBorders>
          </w:tcP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不满足合同或相关规范要求，</w:t>
            </w:r>
          </w:p>
          <w:p>
            <w:pPr>
              <w:pStyle w:val="null3"/>
              <w:jc w:val="center"/>
            </w:pPr>
            <w:r>
              <w:rPr>
                <w:sz w:val="21"/>
              </w:rPr>
              <w:t>且可能对数据造成严重影响的项目</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每1项扣3分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vMerge/>
            <w:tcBorders>
              <w:top w:val="none" w:color="000000" w:sz="4"/>
              <w:left w:val="single" w:color="000000" w:sz="4"/>
              <w:bottom w:val="single" w:color="000000" w:sz="4"/>
              <w:right w:val="single" w:color="000000" w:sz="4"/>
            </w:tcBorders>
          </w:tcPr>
          <w:p/>
        </w:tc>
        <w:tc>
          <w:tcPr>
            <w:tcW w:type="dxa" w:w="1104"/>
            <w:vMerge/>
            <w:tcBorders>
              <w:top w:val="none" w:color="000000" w:sz="4"/>
              <w:left w:val="none" w:color="000000" w:sz="4"/>
              <w:bottom w:val="none" w:color="000000" w:sz="4"/>
              <w:right w:val="single" w:color="000000" w:sz="4"/>
            </w:tcBorders>
          </w:tcPr>
          <w:p/>
        </w:tc>
        <w:tc>
          <w:tcPr>
            <w:tcW w:type="dxa" w:w="3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不满足合同或相关规范要求，且已对数据造成严重影响的项目</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每1项扣5分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6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本服务季度考核总得分</w:t>
            </w:r>
          </w:p>
        </w:tc>
        <w:tc>
          <w:tcPr>
            <w:tcW w:type="dxa" w:w="33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（五）人员要求</w:t>
      </w:r>
    </w:p>
    <w:p>
      <w:pPr>
        <w:pStyle w:val="null3"/>
        <w:jc w:val="both"/>
      </w:pPr>
      <w:r>
        <w:rPr>
          <w:sz w:val="21"/>
        </w:rPr>
        <w:t>1.</w:t>
      </w:r>
      <w:r>
        <w:rPr>
          <w:sz w:val="21"/>
        </w:rPr>
        <w:t>人员资质要求：</w:t>
      </w:r>
    </w:p>
    <w:p>
      <w:pPr>
        <w:pStyle w:val="null3"/>
        <w:ind w:firstLine="420"/>
        <w:jc w:val="both"/>
      </w:pPr>
      <w:r>
        <w:rPr>
          <w:sz w:val="21"/>
        </w:rPr>
        <w:t>（1）</w:t>
      </w:r>
      <w:r>
        <w:rPr>
          <w:sz w:val="21"/>
        </w:rPr>
        <w:t>乙方的运维人员应经培训合格后上岗，具有相关的专业知识，能独立完成水站维护工作。</w:t>
      </w:r>
    </w:p>
    <w:p>
      <w:pPr>
        <w:pStyle w:val="null3"/>
        <w:ind w:firstLine="420"/>
        <w:jc w:val="both"/>
      </w:pPr>
      <w:r>
        <w:rPr>
          <w:sz w:val="21"/>
        </w:rPr>
        <w:t>（</w:t>
      </w:r>
      <w:r>
        <w:rPr>
          <w:sz w:val="21"/>
        </w:rPr>
        <w:t>2</w:t>
      </w:r>
      <w:r>
        <w:rPr>
          <w:sz w:val="21"/>
        </w:rPr>
        <w:t>）</w:t>
      </w:r>
      <w:r>
        <w:rPr>
          <w:sz w:val="21"/>
        </w:rPr>
        <w:t>乙方需保证项目团队中项目负责人具备与本项目相关中级（或以上）技术职称，具有3年水质自动监测站运维经验；项目团队中骨干人员（不含项目负责人）不得少于3人，骨干人员需具备3年水站运维经验；运维人员（含骨干人员）数量与站点数量比值高于1/3。</w:t>
      </w:r>
    </w:p>
    <w:p>
      <w:pPr>
        <w:pStyle w:val="null3"/>
      </w:pPr>
      <w:r>
        <w:rPr>
          <w:sz w:val="21"/>
          <w:color w:val="000000"/>
        </w:rPr>
        <w:t>2、</w:t>
      </w:r>
      <w:r>
        <w:rPr>
          <w:sz w:val="21"/>
          <w:color w:val="000000"/>
        </w:rPr>
        <w:t>人员</w:t>
      </w:r>
      <w:r>
        <w:rPr>
          <w:sz w:val="21"/>
          <w:color w:val="000000"/>
        </w:rPr>
        <w:t>管理</w:t>
      </w:r>
      <w:r>
        <w:rPr>
          <w:sz w:val="21"/>
          <w:color w:val="000000"/>
        </w:rPr>
        <w:t>要求</w:t>
      </w:r>
    </w:p>
    <w:p>
      <w:pPr>
        <w:pStyle w:val="null3"/>
        <w:ind w:firstLine="420"/>
        <w:jc w:val="left"/>
      </w:pPr>
      <w:r>
        <w:rPr>
          <w:sz w:val="21"/>
          <w:color w:val="000000"/>
        </w:rPr>
        <w:t>（1）在本项目实施期间，项目实施组成员必须严格按照招标文件承诺的项目人员组成，若项目实施组成员出现变更，必须向</w:t>
      </w:r>
      <w:r>
        <w:rPr>
          <w:sz w:val="21"/>
          <w:color w:val="000000"/>
        </w:rPr>
        <w:t>甲方</w:t>
      </w:r>
      <w:r>
        <w:rPr>
          <w:sz w:val="21"/>
          <w:color w:val="000000"/>
        </w:rPr>
        <w:t>书面报备。</w:t>
      </w:r>
    </w:p>
    <w:p>
      <w:pPr>
        <w:pStyle w:val="null3"/>
        <w:ind w:firstLine="420"/>
        <w:jc w:val="left"/>
      </w:pPr>
      <w:r>
        <w:rPr>
          <w:sz w:val="21"/>
          <w:color w:val="000000"/>
        </w:rPr>
        <w:t>（2）甲方有权以书面形式要求乙方更换不能按规定履行合同的人员。</w:t>
      </w:r>
    </w:p>
    <w:p>
      <w:pPr>
        <w:pStyle w:val="null3"/>
        <w:ind w:firstLine="420"/>
        <w:jc w:val="left"/>
      </w:pPr>
      <w:r>
        <w:rPr>
          <w:sz w:val="21"/>
          <w:color w:val="000000"/>
        </w:rPr>
        <w:t>（3）即使是甲方要求更换或</w:t>
      </w:r>
      <w:r>
        <w:rPr>
          <w:sz w:val="21"/>
          <w:color w:val="000000"/>
        </w:rPr>
        <w:t>乙方</w:t>
      </w:r>
      <w:r>
        <w:rPr>
          <w:sz w:val="21"/>
          <w:color w:val="000000"/>
        </w:rPr>
        <w:t>报备更换的人员，其代替人员的资历和经验均不低于被更换人员。由此而产生的费用由乙方承担。</w:t>
      </w:r>
    </w:p>
    <w:p>
      <w:pPr>
        <w:pStyle w:val="null3"/>
        <w:ind w:firstLine="420"/>
        <w:jc w:val="left"/>
      </w:pPr>
      <w:r>
        <w:rPr>
          <w:sz w:val="21"/>
          <w:color w:val="000000"/>
        </w:rPr>
        <w:t>（4）在项目实施过程中引起的各种工伤、安全事件和事故，由乙方负责。在服务期间内，乙方须承担项目工作人员的安全、意外责任、工伤责任和所有服务风险。在服务期间内，与工作人员发生的一切劳务纠纷，由乙方负责。</w:t>
      </w:r>
    </w:p>
    <w:p>
      <w:pPr>
        <w:pStyle w:val="null3"/>
        <w:ind w:left="120"/>
        <w:jc w:val="both"/>
      </w:pPr>
      <w:r>
        <w:rPr>
          <w:sz w:val="21"/>
        </w:rPr>
        <w:t>3.乙方人员列表：</w:t>
      </w:r>
    </w:p>
    <w:p>
      <w:pPr>
        <w:pStyle w:val="null3"/>
        <w:ind w:left="120"/>
        <w:jc w:val="both"/>
      </w:pPr>
      <w:r>
        <w:rPr>
          <w:sz w:val="21"/>
        </w:rPr>
        <w:t>（</w:t>
      </w:r>
      <w:r>
        <w:rPr>
          <w:sz w:val="21"/>
        </w:rPr>
        <w:t>六</w:t>
      </w:r>
      <w:r>
        <w:rPr>
          <w:sz w:val="21"/>
        </w:rPr>
        <w:t>）</w:t>
      </w:r>
      <w:r>
        <w:rPr>
          <w:sz w:val="21"/>
        </w:rPr>
        <w:t>其他</w:t>
      </w:r>
    </w:p>
    <w:p>
      <w:pPr>
        <w:pStyle w:val="null3"/>
        <w:ind w:left="120"/>
        <w:jc w:val="both"/>
      </w:pPr>
      <w:r>
        <w:rPr>
          <w:sz w:val="21"/>
        </w:rPr>
        <w:t>1、</w:t>
      </w:r>
      <w:r>
        <w:rPr>
          <w:sz w:val="21"/>
        </w:rPr>
        <w:t>乙方</w:t>
      </w:r>
      <w:r>
        <w:rPr>
          <w:sz w:val="21"/>
        </w:rPr>
        <w:t>针对技术要求并结合所在的地域、人员、仪器设备和水质等情况提供完整的系统集成方案【（包括水质自动监测系统中采水单元、配水及预处理单元、分析单元、控制单元、数据采集与传输和辅助单元等各单元完整、全面的集成方案）、仪器设备安装调试和联网方案。系统集成方案按照技术要求响应，科学合理并遵循先进、实用、专业、安全、经济等原则；仪器设备安装调试方案明确、细致、合理、技术路线清晰，时间进度安排明确；联网方案能实现数据顺利传输至</w:t>
      </w:r>
      <w:r>
        <w:rPr>
          <w:sz w:val="21"/>
        </w:rPr>
        <w:t>甲方</w:t>
      </w:r>
      <w:r>
        <w:rPr>
          <w:sz w:val="21"/>
        </w:rPr>
        <w:t>统一的数据管理平台，方案细致合理、完整、科学】</w:t>
      </w:r>
    </w:p>
    <w:p>
      <w:pPr>
        <w:pStyle w:val="null3"/>
        <w:ind w:left="120"/>
        <w:jc w:val="both"/>
      </w:pPr>
      <w:r>
        <w:rPr>
          <w:sz w:val="21"/>
        </w:rPr>
        <w:t>2、</w:t>
      </w:r>
      <w:r>
        <w:rPr>
          <w:sz w:val="21"/>
        </w:rPr>
        <w:t>乙方</w:t>
      </w:r>
      <w:r>
        <w:rPr>
          <w:sz w:val="21"/>
        </w:rPr>
        <w:t>针对技术要求并结合所在的地域、人员、仪器设备和水质等情况提供水质自动监测站质控方案（质控方案中须包括标样核查、留样复测、加标回收率测试及其他满足质控目标的质控措施，质控工作安排科学合理，数据审核方法明确）。</w:t>
      </w:r>
    </w:p>
    <w:p>
      <w:pPr>
        <w:pStyle w:val="null3"/>
        <w:ind w:left="120"/>
        <w:jc w:val="both"/>
      </w:pPr>
      <w:r>
        <w:rPr>
          <w:sz w:val="21"/>
        </w:rPr>
        <w:t>3、</w:t>
      </w:r>
      <w:r>
        <w:rPr>
          <w:sz w:val="21"/>
        </w:rPr>
        <w:t>乙方</w:t>
      </w:r>
      <w:r>
        <w:rPr>
          <w:sz w:val="21"/>
        </w:rPr>
        <w:t>针对技术要求提供水质自动监测站运维应急预案【运维应急预案内容包括突发性水质污染、特殊时期（丰水期、枯水期等）、自然灾害、水电检修、临时停电或节假日、重大活动或被偷盗破坏等情况，是否具备有效的预防和应急措施等】。</w:t>
      </w:r>
    </w:p>
    <w:p>
      <w:pPr>
        <w:pStyle w:val="null3"/>
        <w:ind w:left="120"/>
        <w:jc w:val="both"/>
      </w:pPr>
      <w:r>
        <w:rPr>
          <w:sz w:val="21"/>
        </w:rPr>
        <w:t>4、</w:t>
      </w:r>
      <w:r>
        <w:rPr>
          <w:sz w:val="21"/>
        </w:rPr>
        <w:t>乙方</w:t>
      </w:r>
      <w:r>
        <w:rPr>
          <w:sz w:val="21"/>
        </w:rPr>
        <w:t>根据本项目需求提供的服务方案，包括但不限于备用及便携设备配置、人员配置及安排、车辆配置（本项目站点多且分散，要求</w:t>
      </w:r>
      <w:r>
        <w:rPr>
          <w:sz w:val="21"/>
        </w:rPr>
        <w:t>乙方</w:t>
      </w:r>
      <w:r>
        <w:rPr>
          <w:sz w:val="21"/>
        </w:rPr>
        <w:t>需配置专用车辆1台，用于本项目）、运维制度、运维方案）。</w:t>
      </w:r>
    </w:p>
    <w:p>
      <w:pPr>
        <w:pStyle w:val="null3"/>
        <w:ind w:left="120"/>
        <w:jc w:val="both"/>
      </w:pPr>
      <w:r>
        <w:rPr>
          <w:sz w:val="21"/>
        </w:rPr>
        <w:t>5、对照服务要求提供的数据分析服务方案，包含但不限于如何运用本项目的水质自动监测数据及</w:t>
      </w:r>
      <w:r>
        <w:rPr>
          <w:sz w:val="21"/>
        </w:rPr>
        <w:t>甲方</w:t>
      </w:r>
      <w:r>
        <w:rPr>
          <w:sz w:val="21"/>
        </w:rPr>
        <w:t>提供的顺德区水质自动监测数据和手工监测数据进行顺德区水环境数据分析及预警预报服务等。</w:t>
      </w:r>
    </w:p>
    <w:p>
      <w:pPr>
        <w:pStyle w:val="null3"/>
        <w:ind w:left="120"/>
        <w:jc w:val="both"/>
      </w:pPr>
      <w:r>
        <w:rPr>
          <w:sz w:val="21"/>
        </w:rPr>
        <w:t>6、</w:t>
      </w:r>
      <w:r>
        <w:rPr>
          <w:sz w:val="21"/>
        </w:rPr>
        <w:t>乙方</w:t>
      </w:r>
      <w:r>
        <w:rPr>
          <w:sz w:val="21"/>
        </w:rPr>
        <w:t>具备“地表水自动监测”的信息化技术能力，在服务过程中持续提升相关检测能力及监测手段，提高服务水平。</w:t>
      </w:r>
    </w:p>
    <w:p>
      <w:pPr>
        <w:pStyle w:val="null3"/>
        <w:ind w:left="120"/>
        <w:jc w:val="both"/>
      </w:pPr>
      <w:r>
        <w:rPr>
          <w:sz w:val="21"/>
        </w:rPr>
        <w:t>乙方</w:t>
      </w:r>
      <w:r>
        <w:rPr>
          <w:sz w:val="21"/>
        </w:rPr>
        <w:t>对投入本项目使用的仪器设备，需提高必要的备品备件（易损易耗件、常用零备件、仪器备件、采配水及控制系统备件等）及备用设备，以保证服务质量。</w:t>
      </w:r>
    </w:p>
    <w:p>
      <w:pPr>
        <w:pStyle w:val="null3"/>
        <w:ind w:left="120"/>
        <w:jc w:val="both"/>
      </w:pPr>
      <w:r>
        <w:rPr>
          <w:sz w:val="21"/>
          <w:b/>
          <w:color w:val="000000"/>
        </w:rPr>
        <w:t>五、服务对照执行标准：</w:t>
      </w:r>
    </w:p>
    <w:p>
      <w:pPr>
        <w:pStyle w:val="null3"/>
        <w:jc w:val="both"/>
      </w:pPr>
      <w:r>
        <w:rPr>
          <w:sz w:val="21"/>
          <w:color w:val="000000"/>
        </w:rPr>
        <w:t>（一）符合中华人民共和国国家和履约地相关安全质量标准、行业技术规范标准；</w:t>
      </w:r>
    </w:p>
    <w:p>
      <w:pPr>
        <w:pStyle w:val="null3"/>
        <w:jc w:val="both"/>
      </w:pPr>
      <w:r>
        <w:rPr>
          <w:sz w:val="21"/>
          <w:color w:val="000000"/>
        </w:rPr>
        <w:t>（二）符合采购文件和响应承诺中各方共同认可的合理要求；</w:t>
      </w:r>
    </w:p>
    <w:p>
      <w:pPr>
        <w:pStyle w:val="null3"/>
        <w:ind w:firstLine="420"/>
        <w:jc w:val="both"/>
      </w:pPr>
      <w:r>
        <w:rPr>
          <w:sz w:val="21"/>
          <w:color w:val="000000"/>
        </w:rPr>
        <w:t>上述各类标准与法规必须是有关官方机构最新发布的现行标准版本。</w:t>
      </w:r>
    </w:p>
    <w:p>
      <w:pPr>
        <w:pStyle w:val="null3"/>
        <w:jc w:val="both"/>
      </w:pPr>
      <w:r>
        <w:rPr>
          <w:sz w:val="21"/>
          <w:b/>
          <w:color w:val="000000"/>
        </w:rPr>
        <w:t>六、投诉跟踪服务要求：</w:t>
      </w:r>
    </w:p>
    <w:p>
      <w:pPr>
        <w:pStyle w:val="null3"/>
        <w:jc w:val="both"/>
      </w:pPr>
      <w:r>
        <w:rPr>
          <w:sz w:val="21"/>
          <w:color w:val="000000"/>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1"/>
          <w:color w:val="000000"/>
        </w:rPr>
        <w:t>2.服务期内，甲方有权按本项目的管理要求对乙方进行不定期抽查检查，若对不合格的管理服务提出警告后，仍未得到有效解决时，甲方有权终止管理合同。</w:t>
      </w:r>
    </w:p>
    <w:p>
      <w:pPr>
        <w:pStyle w:val="null3"/>
        <w:jc w:val="both"/>
      </w:pPr>
      <w:r>
        <w:rPr>
          <w:sz w:val="21"/>
          <w:color w:val="000000"/>
        </w:rPr>
        <w:t>3.乙方服务机构名称及地址：</w:t>
      </w:r>
      <w:r>
        <w:rPr/>
        <w:t xml:space="preserve"> </w:t>
      </w:r>
    </w:p>
    <w:p>
      <w:pPr>
        <w:pStyle w:val="null3"/>
        <w:ind w:firstLine="420"/>
        <w:jc w:val="both"/>
      </w:pPr>
      <w:r>
        <w:rPr>
          <w:sz w:val="21"/>
          <w:color w:val="000000"/>
        </w:rPr>
        <w:t>联系人1：          ，联系电话：            ，手机：          ；</w:t>
      </w:r>
    </w:p>
    <w:p>
      <w:pPr>
        <w:pStyle w:val="null3"/>
        <w:ind w:firstLine="420"/>
        <w:jc w:val="both"/>
      </w:pPr>
      <w:r>
        <w:rPr>
          <w:sz w:val="21"/>
          <w:color w:val="000000"/>
        </w:rPr>
        <w:t>联系人2：          ，联系电话：            ，手机：          ；</w:t>
      </w:r>
    </w:p>
    <w:p>
      <w:pPr>
        <w:pStyle w:val="null3"/>
        <w:ind w:firstLine="420"/>
        <w:jc w:val="both"/>
      </w:pPr>
      <w:r>
        <w:rPr>
          <w:sz w:val="21"/>
          <w:color w:val="000000"/>
        </w:rPr>
        <w:t>服务专线电话：</w:t>
      </w:r>
    </w:p>
    <w:p>
      <w:pPr>
        <w:pStyle w:val="null3"/>
        <w:jc w:val="both"/>
      </w:pPr>
      <w:r>
        <w:rPr>
          <w:sz w:val="21"/>
          <w:color w:val="000000"/>
        </w:rPr>
        <w:t>4.其他服务要求：（补充内容不得对采购文件和投标/响应文件作实质性修改）</w:t>
      </w:r>
    </w:p>
    <w:p>
      <w:pPr>
        <w:pStyle w:val="null3"/>
        <w:jc w:val="both"/>
      </w:pPr>
      <w:r>
        <w:rPr>
          <w:u w:val="single"/>
        </w:rPr>
        <w:t xml:space="preserve">                                                          </w:t>
      </w:r>
      <w:r>
        <w:rPr>
          <w:sz w:val="21"/>
          <w:color w:val="000000"/>
        </w:rPr>
        <w:t>。</w:t>
      </w:r>
    </w:p>
    <w:p>
      <w:pPr>
        <w:pStyle w:val="null3"/>
      </w:pPr>
      <w:r>
        <w:rPr>
          <w:sz w:val="21"/>
          <w:b/>
          <w:color w:val="000000"/>
        </w:rPr>
        <w:t>七</w:t>
      </w:r>
      <w:r>
        <w:rPr>
          <w:sz w:val="21"/>
          <w:b/>
          <w:color w:val="000000"/>
        </w:rPr>
        <w:t>、验收要求：</w:t>
      </w:r>
    </w:p>
    <w:p>
      <w:pPr>
        <w:pStyle w:val="null3"/>
      </w:pPr>
      <w:r>
        <w:rPr>
          <w:sz w:val="21"/>
          <w:color w:val="000000"/>
        </w:rPr>
        <w:t>（</w:t>
      </w:r>
      <w:r>
        <w:rPr>
          <w:sz w:val="21"/>
          <w:color w:val="000000"/>
        </w:rPr>
        <w:t>一</w:t>
      </w:r>
      <w:r>
        <w:rPr>
          <w:sz w:val="21"/>
          <w:color w:val="000000"/>
        </w:rPr>
        <w:t>）</w:t>
      </w:r>
      <w:r>
        <w:rPr>
          <w:sz w:val="21"/>
          <w:color w:val="000000"/>
        </w:rPr>
        <w:t>阶段性（安装调试和试运行）验收：</w:t>
      </w:r>
    </w:p>
    <w:p>
      <w:pPr>
        <w:pStyle w:val="null3"/>
      </w:pPr>
      <w:r>
        <w:rPr>
          <w:sz w:val="21"/>
          <w:color w:val="000000"/>
        </w:rPr>
        <w:t>1、</w:t>
      </w:r>
      <w:r>
        <w:rPr>
          <w:sz w:val="21"/>
          <w:color w:val="000000"/>
        </w:rPr>
        <w:t>验收时间：在设备安装、调试、试运行1个月后，由乙方提起验收申请，交付收到</w:t>
      </w:r>
      <w:r>
        <w:rPr>
          <w:sz w:val="21"/>
          <w:color w:val="000000"/>
        </w:rPr>
        <w:t>乙方</w:t>
      </w:r>
      <w:r>
        <w:rPr>
          <w:sz w:val="21"/>
          <w:color w:val="000000"/>
        </w:rPr>
        <w:t>验收申请后 7日内组织阶段性验收。</w:t>
      </w:r>
    </w:p>
    <w:p>
      <w:pPr>
        <w:pStyle w:val="null3"/>
      </w:pPr>
      <w:r>
        <w:rPr>
          <w:sz w:val="21"/>
          <w:color w:val="000000"/>
        </w:rPr>
        <w:t>2</w:t>
      </w:r>
      <w:r>
        <w:rPr>
          <w:sz w:val="21"/>
          <w:color w:val="000000"/>
        </w:rPr>
        <w:t>、</w:t>
      </w:r>
      <w:r>
        <w:rPr>
          <w:sz w:val="21"/>
          <w:color w:val="000000"/>
        </w:rPr>
        <w:t>项目阶段性成果必须通过</w:t>
      </w:r>
      <w:r>
        <w:rPr>
          <w:sz w:val="21"/>
          <w:color w:val="000000"/>
        </w:rPr>
        <w:t>甲方</w:t>
      </w:r>
      <w:r>
        <w:rPr>
          <w:sz w:val="21"/>
          <w:color w:val="000000"/>
        </w:rPr>
        <w:t>的验收。</w:t>
      </w:r>
    </w:p>
    <w:p>
      <w:pPr>
        <w:pStyle w:val="null3"/>
      </w:pPr>
      <w:r>
        <w:rPr>
          <w:sz w:val="21"/>
          <w:color w:val="000000"/>
        </w:rPr>
        <w:t>3</w:t>
      </w:r>
      <w:r>
        <w:rPr>
          <w:sz w:val="21"/>
          <w:color w:val="000000"/>
        </w:rPr>
        <w:t>、</w:t>
      </w:r>
      <w:r>
        <w:rPr>
          <w:sz w:val="21"/>
          <w:color w:val="000000"/>
        </w:rPr>
        <w:t>乙方</w:t>
      </w:r>
      <w:r>
        <w:rPr>
          <w:sz w:val="21"/>
          <w:color w:val="000000"/>
        </w:rPr>
        <w:t>须为验收提供必需的一切条件及相关费用。</w:t>
      </w:r>
    </w:p>
    <w:p>
      <w:pPr>
        <w:pStyle w:val="null3"/>
      </w:pPr>
      <w:r>
        <w:rPr>
          <w:sz w:val="21"/>
          <w:color w:val="000000"/>
        </w:rPr>
        <w:t>4</w:t>
      </w:r>
      <w:r>
        <w:rPr>
          <w:sz w:val="21"/>
          <w:color w:val="000000"/>
        </w:rPr>
        <w:t>、</w:t>
      </w:r>
      <w:r>
        <w:rPr>
          <w:sz w:val="21"/>
          <w:color w:val="000000"/>
        </w:rPr>
        <w:t>项目验收依次序对照执行标准：</w:t>
      </w:r>
    </w:p>
    <w:p>
      <w:pPr>
        <w:pStyle w:val="null3"/>
      </w:pPr>
      <w:r>
        <w:rPr>
          <w:sz w:val="21"/>
          <w:color w:val="000000"/>
        </w:rPr>
        <w:t>（</w:t>
      </w:r>
      <w:r>
        <w:rPr>
          <w:sz w:val="21"/>
          <w:color w:val="000000"/>
        </w:rPr>
        <w:t>1</w:t>
      </w:r>
      <w:r>
        <w:rPr>
          <w:sz w:val="21"/>
          <w:color w:val="000000"/>
        </w:rPr>
        <w:t>）</w:t>
      </w:r>
      <w:r>
        <w:rPr>
          <w:sz w:val="21"/>
          <w:color w:val="000000"/>
        </w:rPr>
        <w:t>符合中华人民共和国国家和服务地点相关安全质量标准、行业技术规范标准、环保节能标准；</w:t>
      </w:r>
    </w:p>
    <w:p>
      <w:pPr>
        <w:pStyle w:val="null3"/>
      </w:pPr>
      <w:r>
        <w:rPr>
          <w:sz w:val="21"/>
          <w:color w:val="000000"/>
        </w:rPr>
        <w:t>（</w:t>
      </w:r>
      <w:r>
        <w:rPr>
          <w:sz w:val="21"/>
          <w:color w:val="000000"/>
        </w:rPr>
        <w:t>2</w:t>
      </w:r>
      <w:r>
        <w:rPr>
          <w:sz w:val="21"/>
          <w:color w:val="000000"/>
        </w:rPr>
        <w:t>）</w:t>
      </w:r>
      <w:r>
        <w:rPr>
          <w:sz w:val="21"/>
          <w:color w:val="000000"/>
        </w:rPr>
        <w:t>依据本项目的合同以及</w:t>
      </w:r>
      <w:r>
        <w:rPr>
          <w:sz w:val="21"/>
          <w:color w:val="000000"/>
        </w:rPr>
        <w:t>甲方</w:t>
      </w:r>
      <w:r>
        <w:rPr>
          <w:sz w:val="21"/>
          <w:color w:val="000000"/>
        </w:rPr>
        <w:t>签署的会议纪要、备忘录等文件。</w:t>
      </w:r>
    </w:p>
    <w:p>
      <w:pPr>
        <w:pStyle w:val="null3"/>
      </w:pPr>
      <w:r>
        <w:rPr>
          <w:sz w:val="21"/>
          <w:color w:val="000000"/>
        </w:rPr>
        <w:t>（</w:t>
      </w:r>
      <w:r>
        <w:rPr>
          <w:sz w:val="21"/>
          <w:color w:val="000000"/>
        </w:rPr>
        <w:t>3</w:t>
      </w:r>
      <w:r>
        <w:rPr>
          <w:sz w:val="21"/>
          <w:color w:val="000000"/>
        </w:rPr>
        <w:t>）</w:t>
      </w:r>
      <w:r>
        <w:rPr>
          <w:sz w:val="21"/>
          <w:color w:val="000000"/>
        </w:rPr>
        <w:t>符合官方颁布标准；</w:t>
      </w:r>
    </w:p>
    <w:p>
      <w:pPr>
        <w:pStyle w:val="null3"/>
      </w:pPr>
      <w:r>
        <w:rPr>
          <w:sz w:val="21"/>
          <w:color w:val="000000"/>
        </w:rPr>
        <w:t>（</w:t>
      </w:r>
      <w:r>
        <w:rPr>
          <w:sz w:val="21"/>
          <w:color w:val="000000"/>
        </w:rPr>
        <w:t>4</w:t>
      </w:r>
      <w:r>
        <w:rPr>
          <w:sz w:val="21"/>
          <w:color w:val="000000"/>
        </w:rPr>
        <w:t>）</w:t>
      </w:r>
      <w:r>
        <w:rPr>
          <w:sz w:val="21"/>
          <w:color w:val="000000"/>
        </w:rPr>
        <w:t>上述各类标准与法规必须是有关官方机构最新发布的现行标准版本，上述各项次序如后者标准要求高于前者，则以最高标准为验收标准。</w:t>
      </w:r>
    </w:p>
    <w:p>
      <w:pPr>
        <w:pStyle w:val="null3"/>
      </w:pPr>
      <w:r>
        <w:rPr>
          <w:sz w:val="21"/>
          <w:color w:val="000000"/>
        </w:rPr>
        <w:t>5</w:t>
      </w:r>
      <w:r>
        <w:rPr>
          <w:sz w:val="21"/>
          <w:color w:val="000000"/>
        </w:rPr>
        <w:t>、</w:t>
      </w:r>
      <w:r>
        <w:rPr>
          <w:sz w:val="21"/>
          <w:color w:val="000000"/>
        </w:rPr>
        <w:t>其他要求：</w:t>
      </w:r>
      <w:r>
        <w:rPr>
          <w:sz w:val="21"/>
          <w:color w:val="000000"/>
        </w:rPr>
        <w:t>乙方</w:t>
      </w:r>
      <w:r>
        <w:rPr>
          <w:sz w:val="21"/>
          <w:color w:val="000000"/>
        </w:rPr>
        <w:t>在完成本项目涉及相关检测设备的安装调试、试运行后提交阶段验收申请，</w:t>
      </w:r>
      <w:r>
        <w:rPr>
          <w:sz w:val="21"/>
          <w:color w:val="000000"/>
        </w:rPr>
        <w:t>甲方</w:t>
      </w:r>
      <w:r>
        <w:rPr>
          <w:sz w:val="21"/>
          <w:color w:val="000000"/>
        </w:rPr>
        <w:t>收到申请后，组织阶段性验收。</w:t>
      </w:r>
    </w:p>
    <w:p>
      <w:pPr>
        <w:pStyle w:val="null3"/>
      </w:pPr>
      <w:r>
        <w:rPr>
          <w:sz w:val="21"/>
          <w:color w:val="000000"/>
        </w:rPr>
        <w:t>（</w:t>
      </w:r>
      <w:r>
        <w:rPr>
          <w:sz w:val="21"/>
          <w:color w:val="000000"/>
        </w:rPr>
        <w:t>二</w:t>
      </w:r>
      <w:r>
        <w:rPr>
          <w:sz w:val="21"/>
          <w:color w:val="000000"/>
        </w:rPr>
        <w:t>）</w:t>
      </w:r>
      <w:r>
        <w:rPr>
          <w:sz w:val="21"/>
          <w:color w:val="000000"/>
        </w:rPr>
        <w:t>项目整体验收：</w:t>
      </w:r>
    </w:p>
    <w:p>
      <w:pPr>
        <w:pStyle w:val="null3"/>
      </w:pPr>
      <w:r>
        <w:rPr>
          <w:sz w:val="20"/>
        </w:rPr>
        <w:t>1、</w:t>
      </w:r>
      <w:r>
        <w:rPr>
          <w:sz w:val="20"/>
        </w:rPr>
        <w:t>在</w:t>
      </w:r>
      <w:r>
        <w:rPr>
          <w:sz w:val="20"/>
        </w:rPr>
        <w:t>乙方</w:t>
      </w:r>
      <w:r>
        <w:rPr>
          <w:sz w:val="20"/>
        </w:rPr>
        <w:t>完成本项目全部监测服务后，由</w:t>
      </w:r>
      <w:r>
        <w:rPr>
          <w:sz w:val="20"/>
        </w:rPr>
        <w:t>乙方</w:t>
      </w:r>
      <w:r>
        <w:rPr>
          <w:sz w:val="20"/>
        </w:rPr>
        <w:t>提起验收申请，</w:t>
      </w:r>
      <w:r>
        <w:rPr>
          <w:sz w:val="20"/>
        </w:rPr>
        <w:t>甲方</w:t>
      </w:r>
      <w:r>
        <w:rPr>
          <w:sz w:val="20"/>
        </w:rPr>
        <w:t>收到</w:t>
      </w:r>
      <w:r>
        <w:rPr>
          <w:sz w:val="20"/>
        </w:rPr>
        <w:t>乙方</w:t>
      </w:r>
      <w:r>
        <w:rPr>
          <w:sz w:val="20"/>
        </w:rPr>
        <w:t>验收申请后7日内组织</w:t>
      </w:r>
      <w:r>
        <w:rPr>
          <w:sz w:val="20"/>
        </w:rPr>
        <w:t>整体</w:t>
      </w:r>
      <w:r>
        <w:rPr>
          <w:sz w:val="20"/>
        </w:rPr>
        <w:t>履约验收。</w:t>
      </w:r>
    </w:p>
    <w:p>
      <w:pPr>
        <w:pStyle w:val="null3"/>
      </w:pPr>
      <w:r>
        <w:rPr>
          <w:sz w:val="21"/>
          <w:color w:val="000000"/>
        </w:rPr>
        <w:t>2</w:t>
      </w:r>
      <w:r>
        <w:rPr>
          <w:sz w:val="21"/>
          <w:color w:val="000000"/>
        </w:rPr>
        <w:t>、</w:t>
      </w:r>
      <w:r>
        <w:rPr>
          <w:sz w:val="21"/>
          <w:color w:val="000000"/>
        </w:rPr>
        <w:t>项目成果必须通过</w:t>
      </w:r>
      <w:r>
        <w:rPr>
          <w:sz w:val="21"/>
          <w:color w:val="000000"/>
        </w:rPr>
        <w:t>甲方</w:t>
      </w:r>
      <w:r>
        <w:rPr>
          <w:sz w:val="21"/>
          <w:color w:val="000000"/>
        </w:rPr>
        <w:t>的验收。</w:t>
      </w:r>
    </w:p>
    <w:p>
      <w:pPr>
        <w:pStyle w:val="null3"/>
      </w:pPr>
      <w:r>
        <w:rPr>
          <w:sz w:val="21"/>
          <w:color w:val="000000"/>
        </w:rPr>
        <w:t>3</w:t>
      </w:r>
      <w:r>
        <w:rPr>
          <w:sz w:val="21"/>
          <w:color w:val="000000"/>
        </w:rPr>
        <w:t>、</w:t>
      </w:r>
      <w:r>
        <w:rPr>
          <w:sz w:val="21"/>
          <w:color w:val="000000"/>
        </w:rPr>
        <w:t>乙方</w:t>
      </w:r>
      <w:r>
        <w:rPr>
          <w:sz w:val="21"/>
          <w:color w:val="000000"/>
        </w:rPr>
        <w:t>须为验收提供必需的一切条件及相关费用。</w:t>
      </w:r>
    </w:p>
    <w:p>
      <w:pPr>
        <w:pStyle w:val="null3"/>
      </w:pPr>
      <w:r>
        <w:rPr>
          <w:sz w:val="21"/>
          <w:color w:val="000000"/>
        </w:rPr>
        <w:t>4</w:t>
      </w:r>
      <w:r>
        <w:rPr>
          <w:sz w:val="21"/>
          <w:color w:val="000000"/>
        </w:rPr>
        <w:t>、</w:t>
      </w:r>
      <w:r>
        <w:rPr>
          <w:sz w:val="21"/>
          <w:color w:val="000000"/>
        </w:rPr>
        <w:t>项目验收依次序对照执行标准：</w:t>
      </w:r>
    </w:p>
    <w:p>
      <w:pPr>
        <w:pStyle w:val="null3"/>
      </w:pPr>
      <w:r>
        <w:rPr>
          <w:sz w:val="21"/>
          <w:color w:val="000000"/>
        </w:rPr>
        <w:t>（</w:t>
      </w:r>
      <w:r>
        <w:rPr>
          <w:sz w:val="21"/>
          <w:color w:val="000000"/>
        </w:rPr>
        <w:t>1</w:t>
      </w:r>
      <w:r>
        <w:rPr>
          <w:sz w:val="21"/>
          <w:color w:val="000000"/>
        </w:rPr>
        <w:t>）</w:t>
      </w:r>
      <w:r>
        <w:rPr>
          <w:sz w:val="21"/>
          <w:color w:val="000000"/>
        </w:rPr>
        <w:t>符合中华人民共和国国家和服务地点相关安全质量标准、行业技术规范标准、环保节能标准；</w:t>
      </w:r>
    </w:p>
    <w:p>
      <w:pPr>
        <w:pStyle w:val="null3"/>
      </w:pPr>
      <w:r>
        <w:rPr>
          <w:sz w:val="21"/>
          <w:color w:val="000000"/>
        </w:rPr>
        <w:t>（</w:t>
      </w:r>
      <w:r>
        <w:rPr>
          <w:sz w:val="21"/>
          <w:color w:val="000000"/>
        </w:rPr>
        <w:t>2</w:t>
      </w:r>
      <w:r>
        <w:rPr>
          <w:sz w:val="21"/>
          <w:color w:val="000000"/>
        </w:rPr>
        <w:t>）</w:t>
      </w:r>
      <w:r>
        <w:rPr>
          <w:sz w:val="21"/>
          <w:color w:val="000000"/>
        </w:rPr>
        <w:t>依据本项目的合同以及</w:t>
      </w:r>
      <w:r>
        <w:rPr>
          <w:sz w:val="21"/>
          <w:color w:val="000000"/>
        </w:rPr>
        <w:t>甲方</w:t>
      </w:r>
      <w:r>
        <w:rPr>
          <w:sz w:val="21"/>
          <w:color w:val="000000"/>
        </w:rPr>
        <w:t>签署的会议纪要、备忘录等文件。</w:t>
      </w:r>
    </w:p>
    <w:p>
      <w:pPr>
        <w:pStyle w:val="null3"/>
      </w:pPr>
      <w:r>
        <w:rPr>
          <w:sz w:val="21"/>
          <w:color w:val="000000"/>
        </w:rPr>
        <w:t>（</w:t>
      </w:r>
      <w:r>
        <w:rPr>
          <w:sz w:val="21"/>
          <w:color w:val="000000"/>
        </w:rPr>
        <w:t>3</w:t>
      </w:r>
      <w:r>
        <w:rPr>
          <w:sz w:val="21"/>
          <w:color w:val="000000"/>
        </w:rPr>
        <w:t>）</w:t>
      </w:r>
      <w:r>
        <w:rPr>
          <w:sz w:val="21"/>
          <w:color w:val="000000"/>
        </w:rPr>
        <w:t>符合官方颁布标准；</w:t>
      </w:r>
    </w:p>
    <w:p>
      <w:pPr>
        <w:pStyle w:val="null3"/>
      </w:pPr>
      <w:r>
        <w:rPr>
          <w:sz w:val="21"/>
          <w:color w:val="000000"/>
        </w:rPr>
        <w:t>（</w:t>
      </w:r>
      <w:r>
        <w:rPr>
          <w:sz w:val="21"/>
          <w:color w:val="000000"/>
        </w:rPr>
        <w:t>4</w:t>
      </w:r>
      <w:r>
        <w:rPr>
          <w:sz w:val="21"/>
          <w:color w:val="000000"/>
        </w:rPr>
        <w:t>）</w:t>
      </w:r>
      <w:r>
        <w:rPr>
          <w:sz w:val="21"/>
          <w:color w:val="000000"/>
        </w:rPr>
        <w:t>上述各类标准与法规必须是有关官方机构最新发布的现行标准版本，上述各项次序如后者标准要求高于前者，则以最高标准为验收标准。</w:t>
      </w:r>
    </w:p>
    <w:p>
      <w:pPr>
        <w:pStyle w:val="null3"/>
      </w:pPr>
      <w:r>
        <w:rPr>
          <w:sz w:val="21"/>
          <w:color w:val="000000"/>
        </w:rPr>
        <w:t>5</w:t>
      </w:r>
      <w:r>
        <w:rPr>
          <w:sz w:val="21"/>
          <w:color w:val="000000"/>
        </w:rPr>
        <w:t>、</w:t>
      </w:r>
      <w:r>
        <w:rPr>
          <w:sz w:val="21"/>
          <w:color w:val="000000"/>
        </w:rPr>
        <w:t>其他要求：</w:t>
      </w:r>
      <w:r>
        <w:rPr>
          <w:sz w:val="21"/>
          <w:color w:val="000000"/>
        </w:rPr>
        <w:t>乙方</w:t>
      </w:r>
      <w:r>
        <w:rPr>
          <w:sz w:val="21"/>
          <w:color w:val="000000"/>
        </w:rPr>
        <w:t>完成项目全部工作内容，并提交相关成果报告、过程文档以及项目完成工作报告等资料，经</w:t>
      </w:r>
      <w:r>
        <w:rPr>
          <w:sz w:val="21"/>
          <w:color w:val="000000"/>
        </w:rPr>
        <w:t>甲方</w:t>
      </w:r>
      <w:r>
        <w:rPr>
          <w:sz w:val="21"/>
          <w:color w:val="000000"/>
        </w:rPr>
        <w:t>审核后，组织项目验收。</w:t>
      </w:r>
    </w:p>
    <w:p>
      <w:pPr>
        <w:pStyle w:val="null3"/>
      </w:pPr>
      <w:r>
        <w:rPr>
          <w:sz w:val="21"/>
          <w:b/>
          <w:color w:val="000000"/>
        </w:rPr>
        <w:t>（</w:t>
      </w:r>
      <w:r>
        <w:rPr>
          <w:sz w:val="21"/>
          <w:b/>
          <w:color w:val="000000"/>
        </w:rPr>
        <w:t>三</w:t>
      </w:r>
      <w:r>
        <w:rPr>
          <w:sz w:val="21"/>
          <w:b/>
          <w:color w:val="000000"/>
        </w:rPr>
        <w:t>）</w:t>
      </w:r>
      <w:r>
        <w:rPr>
          <w:sz w:val="21"/>
          <w:color w:val="000000"/>
        </w:rPr>
        <w:t>其他验收要求：（补充内容不得对采购文件和投标/响应文件作实质性修改）</w:t>
      </w:r>
    </w:p>
    <w:p>
      <w:pPr>
        <w:pStyle w:val="null3"/>
        <w:ind w:firstLine="420"/>
      </w:pPr>
      <w:r>
        <w:rPr>
          <w:u w:val="single"/>
        </w:rPr>
        <w:t xml:space="preserve">                                                                </w:t>
      </w:r>
      <w:r>
        <w:rPr>
          <w:sz w:val="21"/>
          <w:color w:val="000000"/>
        </w:rPr>
        <w:t>。</w:t>
      </w:r>
    </w:p>
    <w:p>
      <w:pPr>
        <w:pStyle w:val="null3"/>
        <w:ind w:firstLine="480"/>
        <w:jc w:val="both"/>
      </w:pPr>
      <w:r>
        <w:rPr>
          <w:sz w:val="21"/>
          <w:b/>
          <w:color w:val="000000"/>
        </w:rPr>
        <w:t>八</w:t>
      </w:r>
      <w:r>
        <w:rPr>
          <w:sz w:val="21"/>
          <w:b/>
          <w:color w:val="000000"/>
        </w:rPr>
        <w:t>、知识产权和</w:t>
      </w:r>
      <w:r>
        <w:rPr>
          <w:sz w:val="21"/>
          <w:b/>
          <w:color w:val="000000"/>
        </w:rPr>
        <w:t>保密要求：</w:t>
      </w:r>
    </w:p>
    <w:p>
      <w:pPr>
        <w:pStyle w:val="null3"/>
      </w:pPr>
      <w:r>
        <w:rPr>
          <w:sz w:val="21"/>
          <w:b/>
          <w:color w:val="000000"/>
        </w:rPr>
        <w:t>（</w:t>
      </w:r>
      <w:r>
        <w:rPr>
          <w:sz w:val="21"/>
          <w:b/>
          <w:color w:val="000000"/>
        </w:rPr>
        <w:t>一</w:t>
      </w:r>
      <w:r>
        <w:rPr>
          <w:sz w:val="21"/>
          <w:b/>
          <w:color w:val="000000"/>
        </w:rPr>
        <w:t>）</w:t>
      </w:r>
      <w:r>
        <w:rPr>
          <w:sz w:val="21"/>
          <w:b/>
          <w:color w:val="000000"/>
        </w:rPr>
        <w:t>知识产权</w:t>
      </w:r>
    </w:p>
    <w:p>
      <w:pPr>
        <w:pStyle w:val="null3"/>
      </w:pPr>
      <w:r>
        <w:rPr>
          <w:sz w:val="21"/>
          <w:color w:val="000000"/>
        </w:rPr>
        <w:t>乙方</w:t>
      </w:r>
      <w:r>
        <w:rPr>
          <w:sz w:val="21"/>
          <w:color w:val="000000"/>
        </w:rPr>
        <w:t>必须保证，</w:t>
      </w:r>
      <w:r>
        <w:rPr>
          <w:sz w:val="21"/>
          <w:color w:val="000000"/>
        </w:rPr>
        <w:t>甲方</w:t>
      </w:r>
      <w:r>
        <w:rPr>
          <w:sz w:val="21"/>
          <w:color w:val="000000"/>
        </w:rPr>
        <w:t>在中华人民共和国境内使用本项目货物、资料、技术、服务或其任何一部分时，享有不受限制的无偿使用权，如有第三方向</w:t>
      </w:r>
      <w:r>
        <w:rPr>
          <w:sz w:val="21"/>
          <w:color w:val="000000"/>
        </w:rPr>
        <w:t>甲方</w:t>
      </w:r>
      <w:r>
        <w:rPr>
          <w:sz w:val="21"/>
          <w:color w:val="000000"/>
        </w:rPr>
        <w:t>提出侵犯其专利权、商标权或其他知识产权的主张，该责任应由</w:t>
      </w:r>
      <w:r>
        <w:rPr>
          <w:sz w:val="21"/>
          <w:color w:val="000000"/>
        </w:rPr>
        <w:t>乙方</w:t>
      </w:r>
      <w:r>
        <w:rPr>
          <w:sz w:val="21"/>
          <w:color w:val="000000"/>
        </w:rPr>
        <w:t>承担。</w:t>
      </w:r>
    </w:p>
    <w:p>
      <w:pPr>
        <w:pStyle w:val="null3"/>
      </w:pPr>
      <w:r>
        <w:rPr>
          <w:sz w:val="21"/>
          <w:color w:val="000000"/>
        </w:rPr>
        <w:t>（</w:t>
      </w:r>
      <w:r>
        <w:rPr>
          <w:sz w:val="21"/>
          <w:color w:val="000000"/>
        </w:rPr>
        <w:t>二</w:t>
      </w:r>
      <w:r>
        <w:rPr>
          <w:sz w:val="21"/>
          <w:color w:val="000000"/>
        </w:rPr>
        <w:t>）</w:t>
      </w:r>
      <w:r>
        <w:rPr>
          <w:sz w:val="21"/>
          <w:color w:val="000000"/>
        </w:rPr>
        <w:t>保密要求：</w:t>
      </w:r>
    </w:p>
    <w:p>
      <w:pPr>
        <w:pStyle w:val="null3"/>
      </w:pPr>
      <w:r>
        <w:rPr>
          <w:sz w:val="21"/>
          <w:color w:val="000000"/>
        </w:rPr>
        <w:t>1、乙方</w:t>
      </w:r>
      <w:r>
        <w:rPr>
          <w:sz w:val="21"/>
          <w:color w:val="000000"/>
        </w:rPr>
        <w:t>必须严格遵守</w:t>
      </w:r>
      <w:r>
        <w:rPr>
          <w:sz w:val="21"/>
          <w:color w:val="000000"/>
        </w:rPr>
        <w:t>甲方</w:t>
      </w:r>
      <w:r>
        <w:rPr>
          <w:sz w:val="21"/>
          <w:color w:val="000000"/>
        </w:rPr>
        <w:t>相关保密法规和采取措施对本项目材料实体和数据技术文档等资料的保密，并保证安全。不得截留和向第三方泄露所涉及的资料范围、内容及最终形成的各类数据，确保资料信息的安全保密，否则，由于</w:t>
      </w:r>
      <w:r>
        <w:rPr>
          <w:sz w:val="21"/>
          <w:color w:val="000000"/>
        </w:rPr>
        <w:t>乙方</w:t>
      </w:r>
      <w:r>
        <w:rPr>
          <w:sz w:val="21"/>
          <w:color w:val="000000"/>
        </w:rPr>
        <w:t>过错导致的上述资料泄密的，</w:t>
      </w:r>
      <w:r>
        <w:rPr>
          <w:sz w:val="21"/>
          <w:color w:val="000000"/>
        </w:rPr>
        <w:t>乙方</w:t>
      </w:r>
      <w:r>
        <w:rPr>
          <w:sz w:val="21"/>
          <w:color w:val="000000"/>
        </w:rPr>
        <w:t>必须承担一切责任。项目完成后，</w:t>
      </w:r>
      <w:r>
        <w:rPr>
          <w:sz w:val="21"/>
          <w:color w:val="000000"/>
        </w:rPr>
        <w:t>乙方</w:t>
      </w:r>
      <w:r>
        <w:rPr>
          <w:sz w:val="21"/>
          <w:color w:val="000000"/>
        </w:rPr>
        <w:t>、</w:t>
      </w:r>
      <w:r>
        <w:rPr>
          <w:sz w:val="21"/>
          <w:color w:val="000000"/>
        </w:rPr>
        <w:t>甲方</w:t>
      </w:r>
      <w:r>
        <w:rPr>
          <w:sz w:val="21"/>
          <w:color w:val="000000"/>
        </w:rPr>
        <w:t>均有责任对本项目的技术保密承担责任。</w:t>
      </w:r>
    </w:p>
    <w:p>
      <w:pPr>
        <w:pStyle w:val="null3"/>
        <w:ind w:firstLine="480"/>
        <w:jc w:val="both"/>
      </w:pPr>
      <w:r>
        <w:rPr>
          <w:sz w:val="21"/>
          <w:color w:val="000000"/>
        </w:rPr>
        <w:t>2、</w:t>
      </w:r>
      <w:r>
        <w:rPr>
          <w:sz w:val="21"/>
          <w:color w:val="000000"/>
        </w:rPr>
        <w:t>未经</w:t>
      </w:r>
      <w:r>
        <w:rPr>
          <w:sz w:val="21"/>
          <w:color w:val="000000"/>
        </w:rPr>
        <w:t>甲方</w:t>
      </w:r>
      <w:r>
        <w:rPr>
          <w:sz w:val="21"/>
          <w:color w:val="000000"/>
        </w:rPr>
        <w:t>事先书面同意，</w:t>
      </w:r>
      <w:r>
        <w:rPr>
          <w:sz w:val="21"/>
          <w:color w:val="000000"/>
        </w:rPr>
        <w:t>乙方</w:t>
      </w:r>
      <w:r>
        <w:rPr>
          <w:sz w:val="21"/>
          <w:color w:val="000000"/>
        </w:rPr>
        <w:t>不得将由</w:t>
      </w:r>
      <w:r>
        <w:rPr>
          <w:sz w:val="21"/>
          <w:color w:val="000000"/>
        </w:rPr>
        <w:t>甲方</w:t>
      </w:r>
      <w:r>
        <w:rPr>
          <w:sz w:val="21"/>
          <w:color w:val="000000"/>
        </w:rPr>
        <w:t>为本合同提供的条文、规格、计划或资料提供给与本合同无关的任何第三方，不得将其用于履行本合同之外的其它用途，否则，由于</w:t>
      </w:r>
      <w:r>
        <w:rPr>
          <w:sz w:val="21"/>
          <w:color w:val="000000"/>
        </w:rPr>
        <w:t>乙方</w:t>
      </w:r>
      <w:r>
        <w:rPr>
          <w:sz w:val="21"/>
          <w:color w:val="000000"/>
        </w:rPr>
        <w:t>过错导致的上述资料泄密的，</w:t>
      </w:r>
      <w:r>
        <w:rPr>
          <w:sz w:val="21"/>
          <w:color w:val="000000"/>
        </w:rPr>
        <w:t>乙方</w:t>
      </w:r>
      <w:r>
        <w:rPr>
          <w:sz w:val="21"/>
          <w:color w:val="000000"/>
        </w:rPr>
        <w:t>必须承担一切责任。即使向与履行本合同有关的人员提供，也应注意保密并限于履行合同所必需的范围。</w:t>
      </w:r>
    </w:p>
    <w:p>
      <w:pPr>
        <w:pStyle w:val="null3"/>
        <w:jc w:val="both"/>
      </w:pPr>
      <w:r>
        <w:rPr>
          <w:sz w:val="21"/>
          <w:b/>
        </w:rPr>
        <w:t>九</w:t>
      </w:r>
      <w:r>
        <w:rPr>
          <w:sz w:val="21"/>
          <w:b/>
        </w:rPr>
        <w:t>、违约责任：</w:t>
      </w:r>
    </w:p>
    <w:p>
      <w:pPr>
        <w:pStyle w:val="null3"/>
        <w:ind w:firstLine="482"/>
        <w:jc w:val="both"/>
      </w:pPr>
      <w:r>
        <w:rPr>
          <w:sz w:val="21"/>
        </w:rPr>
        <w:t>1.乙方未按要求履行合同义务时，须从违约之日起每日按合同总额的2‰比例向甲方支付违约金；逾期 15日以上时，甲方有权终止合同，由此造成甲方的经济损失由乙方承担。违约金不足以弥补损失的，乙方应按全额赔偿。</w:t>
      </w:r>
    </w:p>
    <w:p>
      <w:pPr>
        <w:pStyle w:val="null3"/>
        <w:ind w:firstLine="482"/>
        <w:jc w:val="both"/>
      </w:pPr>
      <w:r>
        <w:rPr>
          <w:sz w:val="21"/>
        </w:rPr>
        <w:t>2.甲方未按要求履行合同义务时，或无故拖延验收、付款时，须从违约之日起每日按合同总额的2‰比例向</w:t>
      </w:r>
      <w:r>
        <w:rPr>
          <w:sz w:val="21"/>
        </w:rPr>
        <w:t>乙</w:t>
      </w:r>
      <w:r>
        <w:rPr>
          <w:sz w:val="21"/>
        </w:rPr>
        <w:t>方支付违约金。</w:t>
      </w:r>
    </w:p>
    <w:p>
      <w:pPr>
        <w:pStyle w:val="null3"/>
        <w:ind w:firstLine="482"/>
        <w:jc w:val="both"/>
      </w:pPr>
      <w:r>
        <w:rPr>
          <w:sz w:val="21"/>
        </w:rPr>
        <w:t>3.</w:t>
      </w:r>
      <w:r>
        <w:rPr>
          <w:sz w:val="21"/>
        </w:rPr>
        <w:t>合同待</w:t>
      </w:r>
      <w:r>
        <w:rPr>
          <w:sz w:val="21"/>
        </w:rPr>
        <w:t>预付</w:t>
      </w:r>
      <w:r>
        <w:rPr>
          <w:sz w:val="21"/>
        </w:rPr>
        <w:t>款支付后开始正式实施，</w:t>
      </w:r>
      <w:r>
        <w:rPr>
          <w:sz w:val="21"/>
        </w:rPr>
        <w:t>合同履行期间，如甲方遇有上级政策调整、财政压减等问题，双方可再协商本项目的服务内容或服务期等，不视为违约。</w:t>
      </w:r>
    </w:p>
    <w:p>
      <w:pPr>
        <w:pStyle w:val="null3"/>
        <w:ind w:firstLine="482"/>
        <w:jc w:val="both"/>
      </w:pPr>
      <w:r>
        <w:rPr>
          <w:sz w:val="21"/>
        </w:rPr>
        <w:t>4.</w:t>
      </w:r>
      <w:r>
        <w:rPr>
          <w:sz w:val="21"/>
        </w:rPr>
        <w:t>其它违约责任按《中华人民共和国民法典》处理。</w:t>
      </w:r>
    </w:p>
    <w:p>
      <w:pPr>
        <w:pStyle w:val="null3"/>
        <w:ind w:firstLine="482"/>
        <w:jc w:val="both"/>
      </w:pPr>
      <w:r>
        <w:rPr>
          <w:sz w:val="21"/>
        </w:rPr>
        <w:t>注：以上违约金与赔偿金额累计不得超过本合同的合同总价。</w:t>
      </w:r>
    </w:p>
    <w:p>
      <w:pPr>
        <w:pStyle w:val="null3"/>
        <w:jc w:val="both"/>
      </w:pPr>
      <w:r>
        <w:rPr>
          <w:sz w:val="21"/>
          <w:b/>
        </w:rPr>
        <w:t>十</w:t>
      </w:r>
      <w:r>
        <w:rPr>
          <w:sz w:val="21"/>
          <w:b/>
        </w:rPr>
        <w:t>、提出异议的时间和方法：</w:t>
      </w:r>
    </w:p>
    <w:p>
      <w:pPr>
        <w:pStyle w:val="null3"/>
        <w:ind w:firstLine="480"/>
        <w:jc w:val="both"/>
      </w:pPr>
      <w:r>
        <w:rPr>
          <w:sz w:val="21"/>
        </w:rPr>
        <w:t>1.甲方有异议时，应</w:t>
      </w:r>
      <w:r>
        <w:rPr>
          <w:sz w:val="21"/>
          <w:u w:val="single"/>
        </w:rPr>
        <w:t xml:space="preserve"> 15</w:t>
      </w:r>
      <w:r>
        <w:rPr>
          <w:sz w:val="21"/>
        </w:rPr>
        <w:t>天内向乙方提出书面异议。</w:t>
      </w:r>
    </w:p>
    <w:p>
      <w:pPr>
        <w:pStyle w:val="null3"/>
        <w:ind w:firstLine="480"/>
        <w:jc w:val="both"/>
      </w:pPr>
      <w:r>
        <w:rPr>
          <w:sz w:val="21"/>
        </w:rPr>
        <w:t>2.乙方在接到甲方书面异议后，应在3天内负责处理并函复甲方处理情况，否则，即视为默认甲方提出的异议和处理意见。</w:t>
      </w:r>
    </w:p>
    <w:p>
      <w:pPr>
        <w:pStyle w:val="null3"/>
        <w:ind w:firstLine="480"/>
        <w:jc w:val="both"/>
      </w:pPr>
      <w:r>
        <w:rPr>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十一</w:t>
      </w:r>
      <w:r>
        <w:rPr>
          <w:sz w:val="21"/>
          <w:b/>
        </w:rPr>
        <w:t>、争议的解决</w:t>
      </w:r>
    </w:p>
    <w:p>
      <w:pPr>
        <w:pStyle w:val="null3"/>
        <w:ind w:firstLine="480"/>
        <w:jc w:val="both"/>
      </w:pPr>
      <w:r>
        <w:rPr>
          <w:sz w:val="21"/>
          <w:color w:val="000000"/>
        </w:rPr>
        <w:t>1.合同履行过程中发生的任何争议，如双方未能通过友好协商解决，应向</w:t>
      </w:r>
      <w:r>
        <w:rPr>
          <w:sz w:val="21"/>
          <w:color w:val="000000"/>
        </w:rPr>
        <w:t>甲方所在地</w:t>
      </w:r>
      <w:r>
        <w:rPr>
          <w:sz w:val="21"/>
          <w:color w:val="000000"/>
        </w:rPr>
        <w:t>的人民法院提起诉讼。</w:t>
      </w:r>
    </w:p>
    <w:p>
      <w:pPr>
        <w:pStyle w:val="null3"/>
        <w:ind w:firstLine="480"/>
        <w:jc w:val="both"/>
      </w:pPr>
      <w:r>
        <w:rPr>
          <w:sz w:val="21"/>
        </w:rPr>
        <w:t>2.法院审理期间，除提交法院审理的事项外，其它无争议的事项和条款仍应继续履行。</w:t>
      </w:r>
    </w:p>
    <w:p>
      <w:pPr>
        <w:pStyle w:val="null3"/>
        <w:jc w:val="both"/>
      </w:pPr>
      <w:r>
        <w:rPr>
          <w:sz w:val="21"/>
          <w:b/>
        </w:rPr>
        <w:t>十</w:t>
      </w:r>
      <w:r>
        <w:rPr>
          <w:sz w:val="21"/>
          <w:b/>
        </w:rPr>
        <w:t>二</w:t>
      </w:r>
      <w:r>
        <w:rPr>
          <w:sz w:val="21"/>
          <w:b/>
        </w:rPr>
        <w:t>、不可抗力</w:t>
      </w:r>
    </w:p>
    <w:p>
      <w:pPr>
        <w:pStyle w:val="null3"/>
        <w:ind w:firstLine="480"/>
        <w:jc w:val="both"/>
      </w:pPr>
      <w:r>
        <w:rPr>
          <w:sz w:val="21"/>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三</w:t>
      </w:r>
      <w:r>
        <w:rPr>
          <w:sz w:val="21"/>
          <w:b/>
        </w:rPr>
        <w:t>、税费</w:t>
      </w:r>
    </w:p>
    <w:p>
      <w:pPr>
        <w:pStyle w:val="null3"/>
        <w:ind w:firstLine="480"/>
        <w:jc w:val="both"/>
      </w:pPr>
      <w:r>
        <w:rPr>
          <w:sz w:val="21"/>
        </w:rPr>
        <w:t>1.本合同实施过程中所发生的一切税费及不可预见费均由乙方承担。</w:t>
      </w:r>
    </w:p>
    <w:p>
      <w:pPr>
        <w:pStyle w:val="null3"/>
        <w:ind w:firstLine="480"/>
        <w:jc w:val="both"/>
      </w:pPr>
      <w:r>
        <w:rPr>
          <w:sz w:val="21"/>
        </w:rPr>
        <w:t>2.乙方依照税务规章优先在合同履约地开具发票及纳税，咨询：0757-12366。</w:t>
      </w:r>
    </w:p>
    <w:p>
      <w:pPr>
        <w:pStyle w:val="null3"/>
        <w:jc w:val="both"/>
      </w:pPr>
      <w:r>
        <w:rPr>
          <w:sz w:val="21"/>
          <w:b/>
        </w:rPr>
        <w:t>十</w:t>
      </w:r>
      <w:r>
        <w:rPr>
          <w:sz w:val="21"/>
          <w:b/>
        </w:rPr>
        <w:t>四</w:t>
      </w:r>
      <w:r>
        <w:rPr>
          <w:sz w:val="21"/>
          <w:b/>
        </w:rPr>
        <w:t>、合同生效与合同备案</w:t>
      </w:r>
    </w:p>
    <w:p>
      <w:pPr>
        <w:pStyle w:val="null3"/>
        <w:ind w:firstLine="480"/>
        <w:jc w:val="both"/>
      </w:pPr>
      <w:r>
        <w:rPr>
          <w:sz w:val="21"/>
        </w:rPr>
        <w:t>本合同在甲乙双方法人代表或其授权代表签字盖章后生效。</w:t>
      </w:r>
    </w:p>
    <w:p>
      <w:pPr>
        <w:pStyle w:val="null3"/>
        <w:jc w:val="both"/>
      </w:pPr>
      <w:r>
        <w:rPr>
          <w:sz w:val="21"/>
          <w:b/>
        </w:rPr>
        <w:t>十</w:t>
      </w:r>
      <w:r>
        <w:rPr>
          <w:sz w:val="21"/>
          <w:b/>
        </w:rPr>
        <w:t>五</w:t>
      </w:r>
      <w:r>
        <w:rPr>
          <w:sz w:val="21"/>
          <w:b/>
        </w:rPr>
        <w:t>、乙方应提供的资料内容</w:t>
      </w:r>
    </w:p>
    <w:p>
      <w:pPr>
        <w:pStyle w:val="null3"/>
        <w:ind w:firstLine="480"/>
        <w:jc w:val="both"/>
      </w:pPr>
      <w:r>
        <w:rPr>
          <w:u w:val="single"/>
        </w:rPr>
        <w:t xml:space="preserve">                                                            </w:t>
      </w:r>
      <w:r>
        <w:rPr>
          <w:sz w:val="21"/>
        </w:rPr>
        <w:t>。</w:t>
      </w:r>
    </w:p>
    <w:p>
      <w:pPr>
        <w:pStyle w:val="null3"/>
        <w:jc w:val="both"/>
      </w:pPr>
      <w:r>
        <w:rPr>
          <w:sz w:val="21"/>
          <w:b/>
        </w:rPr>
        <w:t>十</w:t>
      </w:r>
      <w:r>
        <w:rPr>
          <w:sz w:val="21"/>
          <w:b/>
        </w:rPr>
        <w:t>六</w:t>
      </w:r>
      <w:r>
        <w:rPr>
          <w:sz w:val="21"/>
          <w:b/>
        </w:rPr>
        <w:t>、关于政府采购合同融资</w:t>
      </w:r>
    </w:p>
    <w:p>
      <w:pPr>
        <w:pStyle w:val="null3"/>
        <w:ind w:firstLine="480"/>
        <w:jc w:val="both"/>
      </w:pPr>
      <w:r>
        <w:rPr>
          <w:sz w:val="21"/>
        </w:rPr>
        <w:t>1.乙方是否已申请政府采购合同融资：</w:t>
      </w:r>
      <w:r>
        <w:rPr>
          <w:sz w:val="21"/>
          <w:u w:val="single"/>
        </w:rPr>
        <w:t xml:space="preserve">  是/ 否  </w:t>
      </w:r>
      <w:r>
        <w:rPr>
          <w:sz w:val="21"/>
        </w:rPr>
        <w:t>；</w:t>
      </w:r>
    </w:p>
    <w:p>
      <w:pPr>
        <w:pStyle w:val="null3"/>
        <w:ind w:firstLine="480"/>
        <w:jc w:val="both"/>
      </w:pPr>
      <w:r>
        <w:rPr>
          <w:sz w:val="21"/>
        </w:rPr>
        <w:t>2.融资银行及联系方式：</w:t>
      </w:r>
      <w:r>
        <w:rPr>
          <w:u w:val="single"/>
        </w:rPr>
        <w:t xml:space="preserve">                                         </w:t>
      </w:r>
      <w:r>
        <w:rPr>
          <w:sz w:val="21"/>
        </w:rPr>
        <w:t>。</w:t>
      </w:r>
    </w:p>
    <w:p>
      <w:pPr>
        <w:pStyle w:val="null3"/>
        <w:ind w:firstLine="480"/>
        <w:jc w:val="both"/>
      </w:pP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rPr>
        <w:t>十</w:t>
      </w:r>
      <w:r>
        <w:rPr>
          <w:sz w:val="21"/>
          <w:b/>
        </w:rPr>
        <w:t>七</w:t>
      </w:r>
      <w:r>
        <w:rPr>
          <w:sz w:val="21"/>
          <w:b/>
        </w:rPr>
        <w:t>、其它：</w:t>
      </w:r>
    </w:p>
    <w:p>
      <w:pPr>
        <w:pStyle w:val="null3"/>
        <w:ind w:firstLine="480"/>
        <w:jc w:val="both"/>
      </w:pPr>
      <w:r>
        <w:rPr>
          <w:sz w:val="21"/>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1"/>
        </w:rPr>
        <w:t>2.如一方（包括联系人）地址、电话、传真号码有变更，应在变更后3个工作日内书面通知对方联系人或负责人，否则，因此造成的损失由未履行通知义务方承担相应责任。</w:t>
      </w:r>
    </w:p>
    <w:p>
      <w:pPr>
        <w:pStyle w:val="null3"/>
        <w:ind w:firstLine="480"/>
        <w:jc w:val="both"/>
      </w:pPr>
      <w:r>
        <w:rPr>
          <w:sz w:val="21"/>
        </w:rPr>
        <w:t>3.未经甲方书面同意，乙方不得擅自向第三方转让其主体性和关键性合同义务。</w:t>
      </w:r>
    </w:p>
    <w:p>
      <w:pPr>
        <w:pStyle w:val="null3"/>
        <w:ind w:firstLine="480"/>
        <w:jc w:val="both"/>
      </w:pPr>
      <w:r>
        <w:rPr>
          <w:sz w:val="21"/>
        </w:rPr>
        <w:t>4.本合同一式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ind w:firstLine="480"/>
        <w:jc w:val="both"/>
      </w:pPr>
      <w:r>
        <w:rPr>
          <w:sz w:val="21"/>
        </w:rPr>
        <w:t>5.本合同（含附件）共计</w:t>
      </w:r>
      <w:r>
        <w:rPr>
          <w:u w:val="single"/>
        </w:rPr>
        <w:t xml:space="preserve">    </w:t>
      </w:r>
      <w:r>
        <w:rPr>
          <w:sz w:val="21"/>
        </w:rPr>
        <w:t>页，缺页之合同为无效合同。</w:t>
      </w:r>
    </w:p>
    <w:p>
      <w:pPr>
        <w:pStyle w:val="null3"/>
        <w:ind w:firstLine="480"/>
        <w:jc w:val="both"/>
      </w:pPr>
      <w:r>
        <w:rPr>
          <w:sz w:val="21"/>
        </w:rPr>
        <w:t>6.本合同签约履约地点：广东省佛山市</w:t>
      </w:r>
      <w:r>
        <w:rPr>
          <w:sz w:val="21"/>
        </w:rPr>
        <w:t>顺德区</w:t>
      </w:r>
      <w:r>
        <w:rPr>
          <w:sz w:val="21"/>
        </w:rPr>
        <w:t>。</w:t>
      </w:r>
    </w:p>
    <w:p>
      <w:pPr>
        <w:pStyle w:val="null3"/>
        <w:ind w:firstLine="480"/>
        <w:jc w:val="both"/>
      </w:pPr>
      <w:r>
        <w:rPr>
          <w:sz w:val="21"/>
        </w:rPr>
        <w:t>7.本合同所指“书面通知”包括但不限于短信、电子邮件等数据电文的通知形式，到达时间以民事诉讼法的规定为准，但进行书面通知前后，通知方均有义务电话确认通知事项。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1"/>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010"/>
        <w:gridCol w:w="3723"/>
        <w:gridCol w:w="573"/>
      </w:tblGrid>
      <w:tr>
        <w:tc>
          <w:tcPr>
            <w:tcW w:type="dxa" w:w="40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r>
              <w:rPr>
                <w:sz w:val="21"/>
                <w:b/>
              </w:rPr>
              <w:t>甲方（盖章）：</w:t>
            </w:r>
          </w:p>
          <w:p>
            <w:pPr>
              <w:pStyle w:val="null3"/>
              <w:ind w:firstLine="380"/>
              <w:jc w:val="both"/>
            </w:pPr>
            <w:r>
              <w:rPr>
                <w:sz w:val="21"/>
              </w:rPr>
              <w:t>代表：</w:t>
            </w:r>
            <w:r>
              <w:rPr>
                <w:sz w:val="19"/>
                <w:u w:val="single"/>
              </w:rPr>
              <w:t xml:space="preserve">                              </w:t>
            </w:r>
            <w:r>
              <w:rPr>
                <w:sz w:val="19"/>
              </w:rPr>
              <w:t xml:space="preserve"> </w:t>
            </w:r>
          </w:p>
          <w:p>
            <w:pPr>
              <w:pStyle w:val="null3"/>
              <w:ind w:firstLine="380"/>
              <w:jc w:val="both"/>
            </w:pPr>
            <w:r>
              <w:rPr>
                <w:sz w:val="21"/>
              </w:rPr>
              <w:t>地址：</w:t>
            </w:r>
          </w:p>
          <w:p>
            <w:pPr>
              <w:pStyle w:val="null3"/>
              <w:ind w:firstLine="380"/>
              <w:jc w:val="both"/>
            </w:pPr>
            <w:r>
              <w:rPr>
                <w:sz w:val="21"/>
              </w:rPr>
              <w:t>电话：</w:t>
            </w:r>
          </w:p>
          <w:p>
            <w:pPr>
              <w:pStyle w:val="null3"/>
              <w:ind w:firstLine="380"/>
              <w:jc w:val="both"/>
            </w:pPr>
            <w:r>
              <w:rPr>
                <w:sz w:val="21"/>
              </w:rPr>
              <w:t>传真：</w:t>
            </w:r>
          </w:p>
          <w:p>
            <w:pPr>
              <w:pStyle w:val="null3"/>
              <w:ind w:firstLine="380"/>
              <w:jc w:val="both"/>
            </w:pPr>
            <w:r>
              <w:rPr>
                <w:sz w:val="21"/>
              </w:rPr>
              <w:t>日期：           年     月    日</w:t>
            </w:r>
          </w:p>
        </w:tc>
        <w:tc>
          <w:tcPr>
            <w:tcW w:type="dxa" w:w="37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rPr>
              <w:t>乙方（盖章）：</w:t>
            </w:r>
          </w:p>
          <w:p>
            <w:pPr>
              <w:pStyle w:val="null3"/>
              <w:ind w:firstLine="380"/>
              <w:jc w:val="both"/>
            </w:pPr>
            <w:r>
              <w:rPr>
                <w:sz w:val="21"/>
              </w:rPr>
              <w:t>代表：</w:t>
            </w:r>
            <w:r>
              <w:rPr>
                <w:sz w:val="19"/>
                <w:u w:val="single"/>
              </w:rPr>
              <w:t xml:space="preserve">                           </w:t>
            </w:r>
          </w:p>
          <w:p>
            <w:pPr>
              <w:pStyle w:val="null3"/>
              <w:ind w:firstLine="380"/>
              <w:jc w:val="both"/>
            </w:pPr>
            <w:r>
              <w:rPr>
                <w:sz w:val="21"/>
              </w:rPr>
              <w:t>地址：</w:t>
            </w:r>
          </w:p>
          <w:p>
            <w:pPr>
              <w:pStyle w:val="null3"/>
              <w:ind w:firstLine="380"/>
              <w:jc w:val="both"/>
            </w:pPr>
            <w:r>
              <w:rPr>
                <w:sz w:val="21"/>
              </w:rPr>
              <w:t>电话：</w:t>
            </w:r>
          </w:p>
          <w:p>
            <w:pPr>
              <w:pStyle w:val="null3"/>
              <w:ind w:firstLine="380"/>
              <w:jc w:val="both"/>
            </w:pPr>
            <w:r>
              <w:rPr>
                <w:sz w:val="21"/>
              </w:rPr>
              <w:t>传真：</w:t>
            </w:r>
          </w:p>
          <w:p>
            <w:pPr>
              <w:pStyle w:val="null3"/>
              <w:ind w:firstLine="380"/>
              <w:jc w:val="both"/>
            </w:pPr>
            <w:r>
              <w:rPr>
                <w:sz w:val="21"/>
              </w:rPr>
              <w:t>日期：        年     月     日</w:t>
            </w:r>
          </w:p>
        </w:tc>
        <w:tc>
          <w:tcPr>
            <w:tcW w:type="dxa" w:w="5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4010"/>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ind w:firstLine="380"/>
              <w:jc w:val="both"/>
            </w:pPr>
          </w:p>
        </w:tc>
        <w:tc>
          <w:tcPr>
            <w:tcW w:type="dxa" w:w="4296"/>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ind w:firstLine="380"/>
              <w:jc w:val="both"/>
            </w:pPr>
            <w:r>
              <w:rPr>
                <w:sz w:val="21"/>
              </w:rPr>
              <w:t>开户名称：</w:t>
            </w:r>
          </w:p>
          <w:p>
            <w:pPr>
              <w:pStyle w:val="null3"/>
              <w:ind w:firstLine="380"/>
              <w:jc w:val="both"/>
            </w:pPr>
            <w:r>
              <w:rPr>
                <w:sz w:val="21"/>
              </w:rPr>
              <w:t>银行账号：</w:t>
            </w:r>
          </w:p>
          <w:p>
            <w:pPr>
              <w:pStyle w:val="null3"/>
              <w:ind w:firstLine="380"/>
              <w:jc w:val="both"/>
            </w:pPr>
            <w:r>
              <w:rPr>
                <w:sz w:val="21"/>
              </w:rPr>
              <w:t>开户行：</w:t>
            </w:r>
          </w:p>
        </w:tc>
      </w:tr>
    </w:tbl>
    <w:p>
      <w:pPr>
        <w:pStyle w:val="null3"/>
        <w:ind w:firstLine="480"/>
        <w:jc w:val="both"/>
      </w:pPr>
      <w:r>
        <w:rPr>
          <w:sz w:val="21"/>
          <w:b/>
        </w:rPr>
        <w:t>合同附件清单：</w:t>
      </w:r>
    </w:p>
    <w:p>
      <w:pPr>
        <w:pStyle w:val="null3"/>
        <w:ind w:firstLine="480"/>
        <w:jc w:val="both"/>
      </w:pPr>
      <w:r>
        <w:rPr>
          <w:sz w:val="21"/>
          <w:b/>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440606-2025-06846</w:t>
      </w:r>
    </w:p>
    <w:p>
      <w:pPr>
        <w:pStyle w:val="null3"/>
        <w:jc w:val="center"/>
        <w:outlineLvl w:val="3"/>
      </w:pPr>
      <w:r>
        <w:rPr>
          <w:sz w:val="24"/>
          <w:b/>
        </w:rPr>
        <w:t>采购项目编号：</w:t>
      </w:r>
      <w:r>
        <w:rPr>
          <w:sz w:val="24"/>
          <w:b/>
        </w:rPr>
        <w:t>BDGZ2025007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2025年顺德区国、省考断面水质保障自动监测服务项目</w:t>
      </w:r>
      <w:r>
        <w:rPr>
          <w:u w:val="single"/>
        </w:rPr>
        <w:t>”</w:t>
      </w:r>
      <w:r>
        <w:rPr/>
        <w:t>项目的招标[采购项目编号为：</w:t>
      </w:r>
      <w:r>
        <w:rPr>
          <w:u w:val="single"/>
        </w:rPr>
        <w:t>BDGZ2025007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2025年顺德区国、省考断面水质保障自动监测服务项目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2025年顺德区国、省考断面水质保障自动监测服务项目</w:t>
      </w:r>
      <w:r>
        <w:rPr/>
        <w:t>”项目采购[采购项目编号为</w:t>
      </w:r>
      <w:r>
        <w:rPr/>
        <w:t>BDGZ2025007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佛山市生态环境局顺德分局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2025年顺德区国、省考断面水质保障自动监测服务项目</w:t>
      </w:r>
      <w:r>
        <w:rPr/>
        <w:t>招标中获中标（采购项目编号：</w:t>
      </w:r>
      <w:r>
        <w:rPr/>
        <w:t>BDGZ2025007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2025年顺德区国、省考断面水质保障自动监测服务项目</w:t>
      </w:r>
      <w:r>
        <w:rPr/>
        <w:t>”项目（采购项目编号：</w:t>
      </w:r>
      <w:r>
        <w:rPr/>
        <w:t>BDGZ2025007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