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440606-2024-09541</w:t>
      </w:r>
    </w:p>
    <w:p>
      <w:pPr>
        <w:pStyle w:val="null3"/>
        <w:jc w:val="center"/>
        <w:outlineLvl w:val="3"/>
      </w:pPr>
      <w:r>
        <w:rPr>
          <w:sz w:val="24"/>
          <w:b/>
        </w:rPr>
        <w:t>采购项目编号：</w:t>
      </w:r>
      <w:r>
        <w:rPr>
          <w:sz w:val="24"/>
          <w:b/>
        </w:rPr>
        <w:t>BDGZ2024071</w:t>
      </w:r>
    </w:p>
    <w:p>
      <w:pPr>
        <w:pStyle w:val="null3"/>
        <w:jc w:val="center"/>
        <w:outlineLvl w:val="3"/>
      </w:pPr>
      <w:r>
        <w:rPr>
          <w:sz w:val="24"/>
          <w:b/>
        </w:rPr>
        <w:t>项目名称：</w:t>
      </w:r>
      <w:r>
        <w:rPr>
          <w:sz w:val="24"/>
          <w:b/>
        </w:rPr>
        <w:t>2025-2026年杏坛镇工程造价评审服务项目</w:t>
      </w:r>
    </w:p>
    <w:p>
      <w:pPr>
        <w:pStyle w:val="null3"/>
        <w:jc w:val="center"/>
        <w:outlineLvl w:val="3"/>
      </w:pPr>
      <w:r>
        <w:rPr>
          <w:sz w:val="24"/>
          <w:b/>
        </w:rPr>
        <w:t>采购人：</w:t>
      </w:r>
      <w:r>
        <w:rPr>
          <w:sz w:val="24"/>
          <w:b/>
        </w:rPr>
        <w:t>佛山市顺德区杏坛镇财政和公有资产管理办公室</w:t>
      </w:r>
    </w:p>
    <w:p>
      <w:pPr>
        <w:pStyle w:val="null3"/>
        <w:jc w:val="center"/>
        <w:outlineLvl w:val="3"/>
      </w:pPr>
      <w:r>
        <w:rPr>
          <w:sz w:val="24"/>
          <w:b/>
        </w:rPr>
        <w:t>采购代理机构：</w:t>
      </w:r>
      <w:r>
        <w:rPr>
          <w:sz w:val="24"/>
          <w:b/>
        </w:rPr>
        <w:t>广东必鼎工程项目管理有限公司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广东必鼎工程项目管理有限公司</w:t>
      </w:r>
      <w:r>
        <w:rPr/>
        <w:t>受</w:t>
      </w:r>
      <w:r>
        <w:rPr/>
        <w:t>佛山市顺德区杏坛镇财政和公有资产管理办公室</w:t>
      </w:r>
      <w:r>
        <w:rPr/>
        <w:t>的委托，采用</w:t>
      </w:r>
      <w:r>
        <w:rPr/>
        <w:t>公开招标</w:t>
      </w:r>
      <w:r>
        <w:rPr/>
        <w:t>方式组织采购</w:t>
      </w:r>
      <w:r>
        <w:rPr/>
        <w:t>2025-2026年杏坛镇工程造价评审服务项目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2025-2026年杏坛镇工程造价评审服务项目</w:t>
      </w:r>
    </w:p>
    <w:p>
      <w:pPr>
        <w:pStyle w:val="null3"/>
        <w:ind w:firstLine="480"/>
      </w:pPr>
      <w:r>
        <w:rPr/>
        <w:t>采购计划编号：</w:t>
      </w:r>
      <w:r>
        <w:rPr/>
        <w:t>440606-2024-09541</w:t>
      </w:r>
    </w:p>
    <w:p>
      <w:pPr>
        <w:pStyle w:val="null3"/>
        <w:ind w:firstLine="480"/>
      </w:pPr>
      <w:r>
        <w:rPr/>
        <w:t>采购项目编号：</w:t>
      </w:r>
      <w:r>
        <w:rPr/>
        <w:t>BDGZ2024071</w:t>
      </w:r>
    </w:p>
    <w:p>
      <w:pPr>
        <w:pStyle w:val="null3"/>
        <w:ind w:firstLine="480"/>
      </w:pPr>
      <w:r>
        <w:rPr/>
        <w:t>采购方式：</w:t>
      </w:r>
      <w:r>
        <w:rPr/>
        <w:t>公开招标</w:t>
      </w:r>
    </w:p>
    <w:p>
      <w:pPr>
        <w:pStyle w:val="null3"/>
        <w:ind w:firstLine="480"/>
      </w:pPr>
      <w:r>
        <w:rPr/>
        <w:t>预算金额：</w:t>
      </w:r>
      <w:r>
        <w:rPr/>
        <w:t>1,950,000.00</w:t>
      </w:r>
      <w:r>
        <w:rPr/>
        <w:t>元</w:t>
      </w:r>
    </w:p>
    <w:p>
      <w:pPr>
        <w:pStyle w:val="null3"/>
        <w:outlineLvl w:val="3"/>
      </w:pPr>
      <w:r>
        <w:rPr>
          <w:sz w:val="24"/>
          <w:b/>
        </w:rPr>
        <w:t>2.项目内容及需求情况（采购项目技术规格、参数及要求）</w:t>
      </w:r>
    </w:p>
    <w:p>
      <w:pPr>
        <w:pStyle w:val="null3"/>
      </w:pPr>
      <w:r>
        <w:rPr/>
        <w:t>采购包1(2025-2026年杏坛镇工程造价评审服务项目（包组1）):</w:t>
      </w:r>
    </w:p>
    <w:p>
      <w:pPr>
        <w:pStyle w:val="null3"/>
      </w:pPr>
      <w:r>
        <w:rPr/>
        <w:t>采购包预算金额：650,000.00元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其他咨询服务</w:t>
            </w:r>
          </w:p>
        </w:tc>
        <w:tc>
          <w:tcPr>
            <w:tcW w:type="dxa" w:w="2052"/>
          </w:tcPr>
          <w:p>
            <w:pPr>
              <w:pStyle w:val="null3"/>
            </w:pPr>
            <w:r>
              <w:rPr/>
              <w:t>2025-2026年杏坛镇工程造价评审服务项目（包组1）</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650,000.00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合同履行期限：合同金额达到采购预算金额或自合同签订之日起至2026年12月31日止，以先到达的为准。</w:t>
      </w:r>
    </w:p>
    <w:p>
      <w:pPr>
        <w:pStyle w:val="null3"/>
      </w:pPr>
      <w:r>
        <w:rPr/>
        <w:t>采购包2(2025-2026年杏坛镇工程造价评审服务项目（包组2）):</w:t>
      </w:r>
    </w:p>
    <w:p>
      <w:pPr>
        <w:pStyle w:val="null3"/>
      </w:pPr>
      <w:r>
        <w:rPr/>
        <w:t>采购包预算金额：650,000.00元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其他咨询服务</w:t>
            </w:r>
          </w:p>
        </w:tc>
        <w:tc>
          <w:tcPr>
            <w:tcW w:type="dxa" w:w="2052"/>
          </w:tcPr>
          <w:p>
            <w:pPr>
              <w:pStyle w:val="null3"/>
            </w:pPr>
            <w:r>
              <w:rPr/>
              <w:t>2025-2026年杏坛镇工程造价评审服务项目（包组2）</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650,000.00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合同履行期限：合同金额达到采购预算金额或自合同签订之日起至2026年12月31日止，以先到达的为准。</w:t>
      </w:r>
    </w:p>
    <w:p>
      <w:pPr>
        <w:pStyle w:val="null3"/>
      </w:pPr>
      <w:r>
        <w:rPr/>
        <w:t>采购包3(2025-2026年杏坛镇工程造价评审服务项目（包组3）):</w:t>
      </w:r>
    </w:p>
    <w:p>
      <w:pPr>
        <w:pStyle w:val="null3"/>
      </w:pPr>
      <w:r>
        <w:rPr/>
        <w:t>采购包预算金额：650,000.00元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3-1</w:t>
            </w:r>
          </w:p>
        </w:tc>
        <w:tc>
          <w:tcPr>
            <w:tcW w:type="dxa" w:w="1368"/>
          </w:tcPr>
          <w:p>
            <w:pPr>
              <w:pStyle w:val="null3"/>
            </w:pPr>
            <w:r>
              <w:rPr/>
              <w:t>其他咨询服务</w:t>
            </w:r>
          </w:p>
        </w:tc>
        <w:tc>
          <w:tcPr>
            <w:tcW w:type="dxa" w:w="2052"/>
          </w:tcPr>
          <w:p>
            <w:pPr>
              <w:pStyle w:val="null3"/>
            </w:pPr>
            <w:r>
              <w:rPr/>
              <w:t>2025-2026年杏坛镇工程造价评审服务项目（包组3）</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650,000.00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合同履行期限：合同金额达到采购预算金额或自合同签订之日起至2026年12月31日止，以先到达的为准。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有效的营业执照（或事业单位法人证书，或社会团体法人登记证书，或其他具有独立承担民事责任的能力的有效证照）扫描件，如投标人为自然人的需提供自然人身份证明扫描件。</w:t>
      </w:r>
    </w:p>
    <w:p>
      <w:pPr>
        <w:pStyle w:val="null3"/>
      </w:pPr>
      <w:r>
        <w:rPr/>
        <w:t>2）有依法缴纳税收和社会保障资金的良好记录：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作为证明材料（见《政府采购供应商资格信用承诺函》）。</w:t>
      </w:r>
    </w:p>
    <w:p>
      <w:pPr>
        <w:pStyle w:val="null3"/>
      </w:pPr>
      <w:r>
        <w:rPr/>
        <w:t>3）具有良好的商业信誉和健全的财务会计制度：财务会计制度情况，须提供下列任一项证明材料：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或提供《政府采购供应商资格信用承诺函》。</w:t>
      </w:r>
    </w:p>
    <w:p>
      <w:pPr>
        <w:pStyle w:val="null3"/>
      </w:pPr>
      <w:r>
        <w:rPr/>
        <w:t>4）履行合同所必需的设备和专业技术能力：提供“具备履行合同所必需的设备和专业技术能力”的承诺函（格式自拟）。</w:t>
      </w:r>
    </w:p>
    <w:p>
      <w:pPr>
        <w:pStyle w:val="null3"/>
      </w:pPr>
      <w:r>
        <w:rPr/>
        <w:t>5）参加采购活动前3年内，在经营活动中没有重大违法记录：参照投标函相关承诺格式内容或提供《政府采购供应商资格信用承诺函》作为证明材料（见《政府采购供应商资格信用承诺函》）。 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采购包1（2025-2026年杏坛镇工程造价评审服务项目（包组1））：</w:t>
      </w:r>
      <w:r>
        <w:rPr/>
        <w:t>采购包整体专门面向中小企业：参与的供应商服务全部由符合政策要求的中小企业承接（本项目属于服务类项目。服务由中小企业承接，即提供服务的人员为中小企业依照《中华人民共和国劳动合同法》订立劳动合同的从业人员）。【注：中小企业以供应商填写的《中小企业声明函》为判定标准（中小企业划型标准所属行业详见采购文件第二章），残疾人福利性单位以供应商填写的《残疾人福利性单位声明函》为判定标准，监狱企业须供应商提供由省级以上监狱管理局、戒毒管理局（含新疆生产建设兵团）出具的属于监狱企业的证明文件，否则不予认定。监狱企业、残疾人福利性单位视同小型、微型企业。】</w:t>
      </w:r>
    </w:p>
    <w:p>
      <w:pPr>
        <w:pStyle w:val="null3"/>
        <w:jc w:val="left"/>
      </w:pPr>
      <w:r>
        <w:rPr/>
        <w:t>采购包2（2025-2026年杏坛镇工程造价评审服务项目（包组2））：</w:t>
      </w:r>
      <w:r>
        <w:rPr/>
        <w:t>采购包整体专门面向中小企业：参与的供应商服务全部由符合政策要求的中小企业承接（本项目属于服务类项目。服务由中小企业承接，即提供服务的人员为中小企业依照《中华人民共和国劳动合同法》订立劳动合同的从业人员）。【注：中小企业以供应商填写的《中小企业声明函》为判定标准（中小企业划型标准所属行业详见采购文件第二章），残疾人福利性单位以供应商填写的《残疾人福利性单位声明函》为判定标准，监狱企业须供应商提供由省级以上监狱管理局、戒毒管理局（含新疆生产建设兵团）出具的属于监狱企业的证明文件，否则不予认定。监狱企业、残疾人福利性单位视同小型、微型企业。】</w:t>
      </w:r>
    </w:p>
    <w:p>
      <w:pPr>
        <w:pStyle w:val="null3"/>
        <w:jc w:val="left"/>
      </w:pPr>
      <w:r>
        <w:rPr/>
        <w:t>采购包3（2025-2026年杏坛镇工程造价评审服务项目（包组3））：</w:t>
      </w:r>
      <w:r>
        <w:rPr/>
        <w:t>采购包整体专门面向中小企业：参与的供应商服务全部由符合政策要求的中小企业承接（本项目属于服务类项目。服务由中小企业承接，即提供服务的人员为中小企业依照《中华人民共和国劳动合同法》订立劳动合同的从业人员）。【注：中小企业以供应商填写的《中小企业声明函》为判定标准（中小企业划型标准所属行业详见采购文件第二章），残疾人福利性单位以供应商填写的《残疾人福利性单位声明函》为判定标准，监狱企业须供应商提供由省级以上监狱管理局、戒毒管理局（含新疆生产建设兵团）出具的属于监狱企业的证明文件，否则不予认定。监狱企业、残疾人福利性单位视同小型、微型企业。】</w:t>
      </w:r>
    </w:p>
    <w:p>
      <w:pPr>
        <w:pStyle w:val="null3"/>
        <w:outlineLvl w:val="3"/>
      </w:pPr>
      <w:r>
        <w:rPr>
          <w:sz w:val="24"/>
          <w:b/>
        </w:rPr>
        <w:t>3.本项目特定的资格要求：</w:t>
      </w:r>
    </w:p>
    <w:p>
      <w:pPr>
        <w:pStyle w:val="null3"/>
      </w:pPr>
      <w:r>
        <w:rPr/>
        <w:t>采购包1（2025-2026年杏坛镇工程造价评审服务项目（包组1））：</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采购包2（2025-2026年杏坛镇工程造价评审服务项目（包组2））：</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采购包3（2025-2026年杏坛镇工程造价评审服务项目（包组3））：</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广东省公共资源交易平台（佛山市）（https://ygp.gdzwfw.gov.cn/#/440600/index）及采购代理机构网站（https://www.gdbdzb.com/）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佛山市顺德区杏坛镇财政和公有资产管理办公室</w:t>
      </w:r>
    </w:p>
    <w:p>
      <w:pPr>
        <w:pStyle w:val="null3"/>
        <w:ind w:firstLine="480"/>
      </w:pPr>
      <w:r>
        <w:rPr/>
        <w:t xml:space="preserve"> 地址：</w:t>
      </w:r>
      <w:r>
        <w:rPr/>
        <w:t>广东省佛山市顺德区杏坛镇杏龙路镇行政大楼</w:t>
      </w:r>
    </w:p>
    <w:p>
      <w:pPr>
        <w:pStyle w:val="null3"/>
        <w:ind w:firstLine="480"/>
      </w:pPr>
      <w:r>
        <w:rPr/>
        <w:t xml:space="preserve"> 联系方式：</w:t>
      </w:r>
      <w:r>
        <w:rPr/>
        <w:t>0757-27388129</w:t>
      </w:r>
    </w:p>
    <w:p>
      <w:pPr>
        <w:pStyle w:val="null3"/>
        <w:outlineLvl w:val="3"/>
      </w:pPr>
      <w:r>
        <w:rPr>
          <w:sz w:val="24"/>
          <w:b/>
        </w:rPr>
        <w:t xml:space="preserve"> 2.采购代理机构信息</w:t>
      </w:r>
    </w:p>
    <w:p>
      <w:pPr>
        <w:pStyle w:val="null3"/>
        <w:ind w:firstLine="480"/>
      </w:pPr>
      <w:r>
        <w:rPr/>
        <w:t xml:space="preserve"> 名称：</w:t>
      </w:r>
      <w:r>
        <w:rPr/>
        <w:t>广东必鼎工程项目管理有限公司</w:t>
      </w:r>
    </w:p>
    <w:p>
      <w:pPr>
        <w:pStyle w:val="null3"/>
        <w:ind w:firstLine="480"/>
      </w:pPr>
      <w:r>
        <w:rPr/>
        <w:t xml:space="preserve"> 地址：</w:t>
      </w:r>
      <w:r>
        <w:rPr/>
        <w:t>佛山市顺德区大良街道办事处逢沙村委会荟智路2号车创智谷广场1栋601单元</w:t>
      </w:r>
    </w:p>
    <w:p>
      <w:pPr>
        <w:pStyle w:val="null3"/>
        <w:ind w:firstLine="480"/>
      </w:pPr>
      <w:r>
        <w:rPr/>
        <w:t xml:space="preserve"> 联系方式：</w:t>
      </w:r>
      <w:r>
        <w:rPr/>
        <w:t>0757-82593498</w:t>
      </w:r>
    </w:p>
    <w:p>
      <w:pPr>
        <w:pStyle w:val="null3"/>
        <w:outlineLvl w:val="3"/>
      </w:pPr>
      <w:r>
        <w:rPr>
          <w:sz w:val="24"/>
          <w:b/>
        </w:rPr>
        <w:t xml:space="preserve"> 3.项目联系方式</w:t>
      </w:r>
    </w:p>
    <w:p>
      <w:pPr>
        <w:pStyle w:val="null3"/>
        <w:ind w:firstLine="480"/>
      </w:pPr>
      <w:r>
        <w:rPr/>
        <w:t xml:space="preserve"> 项目联系人：</w:t>
      </w:r>
      <w:r>
        <w:rPr/>
        <w:t>何先生</w:t>
      </w:r>
    </w:p>
    <w:p>
      <w:pPr>
        <w:pStyle w:val="null3"/>
        <w:ind w:firstLine="480"/>
      </w:pPr>
      <w:r>
        <w:rPr/>
        <w:t xml:space="preserve"> 电话：</w:t>
      </w:r>
      <w:r>
        <w:rPr/>
        <w:t>0757-82593498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广东必鼎工程项目管理有限公司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为加强财政投资工程预结算评审工作的管理，提高评审审核质量和效率，结合工作实际，按公开、公平、公正的原则，对评审机构进行招标，择优确定高素质、高质量和高效率的评审机构参与采购人委托的工程预结算审核工作，具体的审核工作按照国家和省有关财政、财务、基建管理、工程造价的法规、政策文件的有关规定以及采购人有关财政投资审核的规定要求开展。</w:t>
      </w:r>
    </w:p>
    <w:p>
      <w:pPr>
        <w:pStyle w:val="null3"/>
        <w:jc w:val="left"/>
        <w:outlineLvl w:val="0"/>
      </w:pPr>
      <w:r>
        <w:rPr>
          <w:sz w:val="21"/>
          <w:b/>
        </w:rPr>
        <w:t>附件：</w:t>
      </w:r>
    </w:p>
    <w:p>
      <w:pPr>
        <w:pStyle w:val="null3"/>
        <w:jc w:val="center"/>
        <w:outlineLvl w:val="0"/>
      </w:pPr>
      <w:r>
        <w:rPr>
          <w:sz w:val="21"/>
          <w:b/>
        </w:rPr>
        <w:t>杏坛镇财政资金投资评审工程造价咨询服务收费项目和收费标准表</w:t>
      </w:r>
    </w:p>
    <w:tbl>
      <w:tblPr>
        <w:tblW w:w="0" w:type="auto"/>
        <w:tblBorders>
          <w:top w:val="none" w:color="000000" w:sz="4"/>
          <w:left w:val="none" w:color="000000" w:sz="4"/>
          <w:bottom w:val="none" w:color="000000" w:sz="4"/>
          <w:right w:val="none" w:color="000000" w:sz="4"/>
          <w:insideH w:val="none"/>
          <w:insideV w:val="none"/>
        </w:tblBorders>
      </w:tblPr>
      <w:tblGrid>
        <w:gridCol w:w="531"/>
        <w:gridCol w:w="354"/>
        <w:gridCol w:w="737"/>
        <w:gridCol w:w="2137"/>
        <w:gridCol w:w="973"/>
        <w:gridCol w:w="604"/>
        <w:gridCol w:w="531"/>
        <w:gridCol w:w="531"/>
        <w:gridCol w:w="649"/>
        <w:gridCol w:w="708"/>
        <w:gridCol w:w="545"/>
      </w:tblGrid>
      <w:tr>
        <w:tc>
          <w:tcPr>
            <w:tcW w:type="dxa" w:w="531"/>
            <w:vMerge w:val="restart"/>
            <w:tcBorders>
              <w:top w:val="single" w:color="333333" w:sz="4"/>
              <w:left w:val="single" w:color="333333" w:sz="4"/>
              <w:bottom w:val="single" w:color="333333" w:sz="4"/>
              <w:right w:val="single" w:color="333333" w:sz="4"/>
            </w:tcBorders>
            <w:tcMar>
              <w:top w:type="dxa" w:w="0"/>
              <w:left w:type="dxa" w:w="105"/>
              <w:bottom w:type="dxa" w:w="0"/>
              <w:right w:type="dxa" w:w="105"/>
            </w:tcMar>
            <w:vAlign w:val="top"/>
          </w:tcPr>
          <w:p>
            <w:pPr>
              <w:pStyle w:val="null3"/>
              <w:jc w:val="center"/>
            </w:pPr>
            <w:r>
              <w:rPr>
                <w:sz w:val="21"/>
                <w:color w:val="000000"/>
              </w:rPr>
              <w:t>序号</w:t>
            </w:r>
          </w:p>
        </w:tc>
        <w:tc>
          <w:tcPr>
            <w:tcW w:type="dxa" w:w="1091"/>
            <w:gridSpan w:val="2"/>
            <w:vMerge w:val="restart"/>
            <w:tcBorders>
              <w:top w:val="single" w:color="333333" w:sz="4"/>
              <w:left w:val="none" w:color="000000" w:sz="4"/>
              <w:bottom w:val="single" w:color="333333" w:sz="4"/>
              <w:right w:val="single" w:color="333333" w:sz="4"/>
            </w:tcBorders>
            <w:tcMar>
              <w:top w:type="dxa" w:w="0"/>
              <w:left w:type="dxa" w:w="105"/>
              <w:bottom w:type="dxa" w:w="0"/>
              <w:right w:type="dxa" w:w="105"/>
            </w:tcMar>
            <w:vAlign w:val="top"/>
          </w:tcPr>
          <w:p>
            <w:pPr>
              <w:pStyle w:val="null3"/>
              <w:jc w:val="center"/>
            </w:pPr>
            <w:r>
              <w:rPr>
                <w:sz w:val="21"/>
                <w:color w:val="000000"/>
              </w:rPr>
              <w:t>咨</w:t>
            </w:r>
            <w:r>
              <w:rPr>
                <w:sz w:val="21"/>
                <w:color w:val="000000"/>
              </w:rPr>
              <w:t>询</w:t>
            </w:r>
            <w:r>
              <w:rPr>
                <w:sz w:val="21"/>
                <w:color w:val="000000"/>
              </w:rPr>
              <w:t>项</w:t>
            </w:r>
            <w:r>
              <w:rPr>
                <w:sz w:val="21"/>
                <w:color w:val="000000"/>
              </w:rPr>
              <w:t>目</w:t>
            </w:r>
            <w:r>
              <w:rPr>
                <w:sz w:val="21"/>
                <w:color w:val="000000"/>
              </w:rPr>
              <w:t>名</w:t>
            </w:r>
            <w:r>
              <w:rPr>
                <w:sz w:val="21"/>
                <w:color w:val="000000"/>
              </w:rPr>
              <w:t>称</w:t>
            </w:r>
          </w:p>
        </w:tc>
        <w:tc>
          <w:tcPr>
            <w:tcW w:type="dxa" w:w="2137"/>
            <w:vMerge w:val="restart"/>
            <w:tcBorders>
              <w:top w:val="single" w:color="333333" w:sz="4"/>
              <w:left w:val="none" w:color="000000" w:sz="4"/>
              <w:bottom w:val="single" w:color="333333" w:sz="4"/>
              <w:right w:val="single" w:color="333333" w:sz="4"/>
            </w:tcBorders>
            <w:tcMar>
              <w:top w:type="dxa" w:w="0"/>
              <w:left w:type="dxa" w:w="105"/>
              <w:bottom w:type="dxa" w:w="0"/>
              <w:right w:type="dxa" w:w="105"/>
            </w:tcMar>
            <w:vAlign w:val="top"/>
          </w:tcPr>
          <w:p>
            <w:pPr>
              <w:pStyle w:val="null3"/>
              <w:jc w:val="center"/>
            </w:pPr>
            <w:r>
              <w:rPr>
                <w:sz w:val="21"/>
                <w:color w:val="000000"/>
              </w:rPr>
              <w:t>服务内容</w:t>
            </w:r>
          </w:p>
        </w:tc>
        <w:tc>
          <w:tcPr>
            <w:tcW w:type="dxa" w:w="973"/>
            <w:vMerge w:val="restart"/>
            <w:tcBorders>
              <w:top w:val="single" w:color="333333" w:sz="4"/>
              <w:left w:val="none" w:color="000000" w:sz="4"/>
              <w:bottom w:val="single" w:color="333333" w:sz="4"/>
              <w:right w:val="single" w:color="333333" w:sz="4"/>
            </w:tcBorders>
            <w:tcMar>
              <w:top w:type="dxa" w:w="0"/>
              <w:left w:type="dxa" w:w="105"/>
              <w:bottom w:type="dxa" w:w="0"/>
              <w:right w:type="dxa" w:w="105"/>
            </w:tcMar>
            <w:vAlign w:val="top"/>
          </w:tcPr>
          <w:p>
            <w:pPr>
              <w:pStyle w:val="null3"/>
              <w:jc w:val="center"/>
            </w:pPr>
            <w:r>
              <w:rPr>
                <w:sz w:val="21"/>
                <w:color w:val="000000"/>
              </w:rPr>
              <w:t>收费基数</w:t>
            </w:r>
          </w:p>
        </w:tc>
        <w:tc>
          <w:tcPr>
            <w:tcW w:type="dxa" w:w="3568"/>
            <w:gridSpan w:val="6"/>
            <w:tcBorders>
              <w:top w:val="single" w:color="333333" w:sz="4"/>
              <w:left w:val="none" w:color="000000" w:sz="4"/>
              <w:bottom w:val="single" w:color="333333" w:sz="4"/>
              <w:right w:val="single" w:color="333333" w:sz="4"/>
            </w:tcBorders>
            <w:tcMar>
              <w:top w:type="dxa" w:w="0"/>
              <w:left w:type="dxa" w:w="105"/>
              <w:bottom w:type="dxa" w:w="0"/>
              <w:right w:type="dxa" w:w="105"/>
            </w:tcMar>
            <w:vAlign w:val="top"/>
          </w:tcPr>
          <w:p>
            <w:pPr>
              <w:pStyle w:val="null3"/>
              <w:jc w:val="center"/>
            </w:pPr>
            <w:r>
              <w:rPr>
                <w:sz w:val="21"/>
                <w:color w:val="000000"/>
              </w:rPr>
              <w:t>最高收费标准</w:t>
            </w:r>
          </w:p>
        </w:tc>
      </w:tr>
      <w:tr>
        <w:tc>
          <w:tcPr>
            <w:tcW w:type="dxa" w:w="531"/>
            <w:vMerge/>
            <w:tcBorders>
              <w:top w:val="single" w:color="333333" w:sz="4"/>
              <w:left w:val="single" w:color="333333" w:sz="4"/>
              <w:bottom w:val="single" w:color="333333" w:sz="4"/>
              <w:right w:val="single" w:color="333333" w:sz="4"/>
            </w:tcBorders>
          </w:tcPr>
          <w:p/>
        </w:tc>
        <w:tc>
          <w:tcPr>
            <w:tcW w:type="dxa" w:w="1091"/>
            <w:gridSpan w:val="2"/>
            <w:vMerge/>
            <w:tcBorders>
              <w:top w:val="single" w:color="333333" w:sz="4"/>
              <w:left w:val="none" w:color="000000" w:sz="4"/>
              <w:bottom w:val="single" w:color="333333" w:sz="4"/>
              <w:right w:val="single" w:color="333333" w:sz="4"/>
            </w:tcBorders>
          </w:tcPr>
          <w:p/>
        </w:tc>
        <w:tc>
          <w:tcPr>
            <w:tcW w:type="dxa" w:w="2137"/>
            <w:vMerge/>
            <w:tcBorders>
              <w:top w:val="single" w:color="333333" w:sz="4"/>
              <w:left w:val="none" w:color="000000" w:sz="4"/>
              <w:bottom w:val="single" w:color="333333" w:sz="4"/>
              <w:right w:val="single" w:color="333333" w:sz="4"/>
            </w:tcBorders>
          </w:tcPr>
          <w:p/>
        </w:tc>
        <w:tc>
          <w:tcPr>
            <w:tcW w:type="dxa" w:w="973"/>
            <w:vMerge/>
            <w:tcBorders>
              <w:top w:val="single" w:color="333333" w:sz="4"/>
              <w:left w:val="none" w:color="000000" w:sz="4"/>
              <w:bottom w:val="single" w:color="333333" w:sz="4"/>
              <w:right w:val="single" w:color="333333" w:sz="4"/>
            </w:tcBorders>
          </w:tcPr>
          <w:p/>
        </w:tc>
        <w:tc>
          <w:tcPr>
            <w:tcW w:type="dxa" w:w="604"/>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100万元以内</w:t>
            </w:r>
          </w:p>
        </w:tc>
        <w:tc>
          <w:tcPr>
            <w:tcW w:type="dxa" w:w="531"/>
            <w:tcBorders>
              <w:top w:val="single" w:color="333333" w:sz="4"/>
              <w:left w:val="none" w:color="000000" w:sz="4"/>
              <w:bottom w:val="none" w:color="000000" w:sz="4"/>
              <w:right w:val="single" w:color="333333" w:sz="4"/>
            </w:tcBorders>
            <w:tcMar>
              <w:top w:type="dxa" w:w="0"/>
              <w:left w:type="dxa" w:w="105"/>
              <w:bottom w:type="dxa" w:w="0"/>
              <w:right w:type="dxa" w:w="105"/>
            </w:tcMar>
            <w:vAlign w:val="top"/>
          </w:tcPr>
          <w:p>
            <w:pPr>
              <w:pStyle w:val="null3"/>
              <w:jc w:val="left"/>
            </w:pPr>
            <w:r>
              <w:rPr>
                <w:sz w:val="21"/>
                <w:color w:val="000000"/>
              </w:rPr>
              <w:t>101-500万元</w:t>
            </w:r>
          </w:p>
        </w:tc>
        <w:tc>
          <w:tcPr>
            <w:tcW w:type="dxa" w:w="531"/>
            <w:tcBorders>
              <w:top w:val="single" w:color="333333" w:sz="4"/>
              <w:left w:val="none" w:color="000000" w:sz="4"/>
              <w:bottom w:val="none" w:color="000000" w:sz="4"/>
              <w:right w:val="single" w:color="333333" w:sz="4"/>
            </w:tcBorders>
            <w:tcMar>
              <w:top w:type="dxa" w:w="0"/>
              <w:left w:type="dxa" w:w="105"/>
              <w:bottom w:type="dxa" w:w="0"/>
              <w:right w:type="dxa" w:w="105"/>
            </w:tcMar>
            <w:vAlign w:val="top"/>
          </w:tcPr>
          <w:p>
            <w:pPr>
              <w:pStyle w:val="null3"/>
              <w:jc w:val="left"/>
            </w:pPr>
            <w:r>
              <w:rPr>
                <w:sz w:val="21"/>
                <w:color w:val="000000"/>
              </w:rPr>
              <w:t>501-1000万元</w:t>
            </w:r>
          </w:p>
        </w:tc>
        <w:tc>
          <w:tcPr>
            <w:tcW w:type="dxa" w:w="649"/>
            <w:tcBorders>
              <w:top w:val="single" w:color="333333" w:sz="4"/>
              <w:left w:val="none" w:color="000000" w:sz="4"/>
              <w:bottom w:val="none" w:color="000000" w:sz="4"/>
              <w:right w:val="single" w:color="333333" w:sz="4"/>
            </w:tcBorders>
            <w:tcMar>
              <w:top w:type="dxa" w:w="0"/>
              <w:left w:type="dxa" w:w="105"/>
              <w:bottom w:type="dxa" w:w="0"/>
              <w:right w:type="dxa" w:w="105"/>
            </w:tcMar>
            <w:vAlign w:val="top"/>
          </w:tcPr>
          <w:p>
            <w:pPr>
              <w:pStyle w:val="null3"/>
              <w:jc w:val="left"/>
            </w:pPr>
            <w:r>
              <w:rPr>
                <w:sz w:val="21"/>
                <w:color w:val="000000"/>
              </w:rPr>
              <w:t>1001-5000万元</w:t>
            </w:r>
          </w:p>
        </w:tc>
        <w:tc>
          <w:tcPr>
            <w:tcW w:type="dxa" w:w="708"/>
            <w:tcBorders>
              <w:top w:val="single" w:color="333333" w:sz="4"/>
              <w:left w:val="none" w:color="000000" w:sz="4"/>
              <w:bottom w:val="none" w:color="000000" w:sz="4"/>
              <w:right w:val="single" w:color="333333" w:sz="4"/>
            </w:tcBorders>
            <w:tcMar>
              <w:top w:type="dxa" w:w="0"/>
              <w:left w:type="dxa" w:w="105"/>
              <w:bottom w:type="dxa" w:w="0"/>
              <w:right w:type="dxa" w:w="105"/>
            </w:tcMar>
            <w:vAlign w:val="top"/>
          </w:tcPr>
          <w:p>
            <w:pPr>
              <w:pStyle w:val="null3"/>
              <w:jc w:val="left"/>
            </w:pPr>
            <w:r>
              <w:rPr>
                <w:sz w:val="21"/>
                <w:color w:val="000000"/>
              </w:rPr>
              <w:t>5001万元-1亿元</w:t>
            </w:r>
          </w:p>
        </w:tc>
        <w:tc>
          <w:tcPr>
            <w:tcW w:type="dxa" w:w="545"/>
            <w:tcBorders>
              <w:top w:val="single" w:color="333333"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1亿元以上</w:t>
            </w:r>
          </w:p>
        </w:tc>
      </w:tr>
      <w:tr>
        <w:tc>
          <w:tcPr>
            <w:tcW w:type="dxa" w:w="531"/>
            <w:tcBorders>
              <w:top w:val="none" w:color="000000" w:sz="4"/>
              <w:left w:val="single" w:color="333333" w:sz="4"/>
              <w:bottom w:val="single" w:color="333333" w:sz="4"/>
              <w:right w:val="single" w:color="333333" w:sz="4"/>
            </w:tcBorders>
            <w:tcMar>
              <w:top w:type="dxa" w:w="0"/>
              <w:left w:type="dxa" w:w="105"/>
              <w:bottom w:type="dxa" w:w="0"/>
              <w:right w:type="dxa" w:w="105"/>
            </w:tcMar>
            <w:vAlign w:val="top"/>
          </w:tcPr>
          <w:p>
            <w:pPr>
              <w:pStyle w:val="null3"/>
              <w:jc w:val="center"/>
            </w:pPr>
            <w:r>
              <w:rPr>
                <w:sz w:val="21"/>
                <w:color w:val="000000"/>
              </w:rPr>
              <w:t>1</w:t>
            </w:r>
          </w:p>
        </w:tc>
        <w:tc>
          <w:tcPr>
            <w:tcW w:type="dxa" w:w="1091"/>
            <w:gridSpan w:val="2"/>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投资估算审核</w:t>
            </w:r>
          </w:p>
        </w:tc>
        <w:tc>
          <w:tcPr>
            <w:tcW w:type="dxa" w:w="2137"/>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依据建设项目可行性研究方案核对项目投资估算，出具投资估算报告或审核报告</w:t>
            </w:r>
          </w:p>
        </w:tc>
        <w:tc>
          <w:tcPr>
            <w:tcW w:type="dxa" w:w="973"/>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送审估算价</w:t>
            </w:r>
          </w:p>
        </w:tc>
        <w:tc>
          <w:tcPr>
            <w:tcW w:type="dxa" w:w="604"/>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1.04‰</w:t>
            </w:r>
          </w:p>
        </w:tc>
        <w:tc>
          <w:tcPr>
            <w:tcW w:type="dxa" w:w="531"/>
            <w:tcBorders>
              <w:top w:val="single" w:color="333333"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0.88‰</w:t>
            </w:r>
          </w:p>
        </w:tc>
        <w:tc>
          <w:tcPr>
            <w:tcW w:type="dxa" w:w="531"/>
            <w:tcBorders>
              <w:top w:val="single" w:color="333333"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0.72‰</w:t>
            </w:r>
          </w:p>
        </w:tc>
        <w:tc>
          <w:tcPr>
            <w:tcW w:type="dxa" w:w="649"/>
            <w:tcBorders>
              <w:top w:val="single" w:color="333333"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0.56‰</w:t>
            </w:r>
          </w:p>
        </w:tc>
        <w:tc>
          <w:tcPr>
            <w:tcW w:type="dxa" w:w="708"/>
            <w:tcBorders>
              <w:top w:val="single" w:color="333333"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0.35‰</w:t>
            </w:r>
          </w:p>
        </w:tc>
        <w:tc>
          <w:tcPr>
            <w:tcW w:type="dxa" w:w="545"/>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0.24‰</w:t>
            </w:r>
          </w:p>
        </w:tc>
      </w:tr>
      <w:tr>
        <w:tc>
          <w:tcPr>
            <w:tcW w:type="dxa" w:w="531"/>
            <w:tcBorders>
              <w:top w:val="none" w:color="000000" w:sz="4"/>
              <w:left w:val="single" w:color="333333" w:sz="4"/>
              <w:bottom w:val="single" w:color="333333" w:sz="4"/>
              <w:right w:val="single" w:color="333333" w:sz="4"/>
            </w:tcBorders>
            <w:tcMar>
              <w:top w:type="dxa" w:w="0"/>
              <w:left w:type="dxa" w:w="105"/>
              <w:bottom w:type="dxa" w:w="0"/>
              <w:right w:type="dxa" w:w="105"/>
            </w:tcMar>
            <w:vAlign w:val="top"/>
          </w:tcPr>
          <w:p>
            <w:pPr>
              <w:pStyle w:val="null3"/>
              <w:jc w:val="center"/>
            </w:pPr>
            <w:r>
              <w:rPr>
                <w:sz w:val="21"/>
                <w:color w:val="000000"/>
              </w:rPr>
              <w:t>2</w:t>
            </w:r>
          </w:p>
        </w:tc>
        <w:tc>
          <w:tcPr>
            <w:tcW w:type="dxa" w:w="1091"/>
            <w:gridSpan w:val="2"/>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工程概算审核</w:t>
            </w:r>
          </w:p>
        </w:tc>
        <w:tc>
          <w:tcPr>
            <w:tcW w:type="dxa" w:w="2137"/>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依据初步设计图纸计算或复核工程量，出具工程概算书或审核报告</w:t>
            </w:r>
          </w:p>
        </w:tc>
        <w:tc>
          <w:tcPr>
            <w:tcW w:type="dxa" w:w="973"/>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送审概算价</w:t>
            </w:r>
          </w:p>
        </w:tc>
        <w:tc>
          <w:tcPr>
            <w:tcW w:type="dxa" w:w="604"/>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1.6‰</w:t>
            </w:r>
          </w:p>
        </w:tc>
        <w:tc>
          <w:tcPr>
            <w:tcW w:type="dxa" w:w="531"/>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1.44‰</w:t>
            </w:r>
          </w:p>
        </w:tc>
        <w:tc>
          <w:tcPr>
            <w:tcW w:type="dxa" w:w="531"/>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1.28‰</w:t>
            </w:r>
          </w:p>
        </w:tc>
        <w:tc>
          <w:tcPr>
            <w:tcW w:type="dxa" w:w="649"/>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1.04‰</w:t>
            </w:r>
          </w:p>
        </w:tc>
        <w:tc>
          <w:tcPr>
            <w:tcW w:type="dxa" w:w="708"/>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0.84‰</w:t>
            </w:r>
          </w:p>
        </w:tc>
        <w:tc>
          <w:tcPr>
            <w:tcW w:type="dxa" w:w="545"/>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0.66‰</w:t>
            </w:r>
          </w:p>
        </w:tc>
      </w:tr>
      <w:tr>
        <w:tc>
          <w:tcPr>
            <w:tcW w:type="dxa" w:w="531"/>
            <w:vMerge w:val="restart"/>
            <w:tcBorders>
              <w:top w:val="none" w:color="000000" w:sz="4"/>
              <w:left w:val="single" w:color="333333" w:sz="4"/>
              <w:bottom w:val="single" w:color="333333" w:sz="4"/>
              <w:right w:val="single" w:color="333333" w:sz="4"/>
            </w:tcBorders>
            <w:tcMar>
              <w:top w:type="dxa" w:w="0"/>
              <w:left w:type="dxa" w:w="105"/>
              <w:bottom w:type="dxa" w:w="0"/>
              <w:right w:type="dxa" w:w="105"/>
            </w:tcMar>
            <w:vAlign w:val="top"/>
          </w:tcPr>
          <w:p>
            <w:pPr>
              <w:pStyle w:val="null3"/>
              <w:jc w:val="center"/>
            </w:pPr>
            <w:r>
              <w:rPr>
                <w:sz w:val="21"/>
                <w:color w:val="000000"/>
              </w:rPr>
              <w:t>3</w:t>
            </w:r>
          </w:p>
        </w:tc>
        <w:tc>
          <w:tcPr>
            <w:tcW w:type="dxa" w:w="354"/>
            <w:vMerge w:val="restart"/>
            <w:tcBorders>
              <w:top w:val="none" w:color="000000" w:sz="4"/>
              <w:left w:val="none" w:color="000000" w:sz="4"/>
              <w:bottom w:val="none" w:color="000000" w:sz="4"/>
              <w:right w:val="single" w:color="333333" w:sz="4"/>
            </w:tcBorders>
            <w:tcMar>
              <w:top w:type="dxa" w:w="0"/>
              <w:left w:type="dxa" w:w="105"/>
              <w:bottom w:type="dxa" w:w="0"/>
              <w:right w:type="dxa" w:w="105"/>
            </w:tcMar>
            <w:vAlign w:val="top"/>
          </w:tcPr>
          <w:p>
            <w:pPr>
              <w:pStyle w:val="null3"/>
              <w:jc w:val="left"/>
            </w:pPr>
            <w:r>
              <w:rPr>
                <w:sz w:val="21"/>
                <w:color w:val="000000"/>
              </w:rPr>
              <w:t>工程预算审核</w:t>
            </w:r>
          </w:p>
        </w:tc>
        <w:tc>
          <w:tcPr>
            <w:tcW w:type="dxa" w:w="737"/>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单独审核工程量清单</w:t>
            </w:r>
          </w:p>
        </w:tc>
        <w:tc>
          <w:tcPr>
            <w:tcW w:type="dxa" w:w="2137"/>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依据施工图审核工程量清单，出具工程量清单书或审核报告</w:t>
            </w:r>
          </w:p>
        </w:tc>
        <w:tc>
          <w:tcPr>
            <w:tcW w:type="dxa" w:w="973"/>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送审预算造价（预算价、招标控制价）</w:t>
            </w:r>
          </w:p>
        </w:tc>
        <w:tc>
          <w:tcPr>
            <w:tcW w:type="dxa" w:w="604"/>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2.4‰</w:t>
            </w:r>
          </w:p>
        </w:tc>
        <w:tc>
          <w:tcPr>
            <w:tcW w:type="dxa" w:w="531"/>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2.0‰</w:t>
            </w:r>
          </w:p>
        </w:tc>
        <w:tc>
          <w:tcPr>
            <w:tcW w:type="dxa" w:w="531"/>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1.92‰</w:t>
            </w:r>
          </w:p>
        </w:tc>
        <w:tc>
          <w:tcPr>
            <w:tcW w:type="dxa" w:w="649"/>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1.76‰</w:t>
            </w:r>
          </w:p>
        </w:tc>
        <w:tc>
          <w:tcPr>
            <w:tcW w:type="dxa" w:w="708"/>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1.4‰</w:t>
            </w:r>
          </w:p>
        </w:tc>
        <w:tc>
          <w:tcPr>
            <w:tcW w:type="dxa" w:w="545"/>
            <w:tcBorders>
              <w:top w:val="single" w:color="333333"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1.08‰</w:t>
            </w:r>
          </w:p>
        </w:tc>
      </w:tr>
      <w:tr>
        <w:tc>
          <w:tcPr>
            <w:tcW w:type="dxa" w:w="531"/>
            <w:vMerge/>
            <w:tcBorders>
              <w:top w:val="none" w:color="000000" w:sz="4"/>
              <w:left w:val="single" w:color="333333" w:sz="4"/>
              <w:bottom w:val="single" w:color="333333" w:sz="4"/>
              <w:right w:val="single" w:color="333333" w:sz="4"/>
            </w:tcBorders>
          </w:tcPr>
          <w:p/>
        </w:tc>
        <w:tc>
          <w:tcPr>
            <w:tcW w:type="dxa" w:w="354"/>
            <w:vMerge/>
            <w:tcBorders>
              <w:top w:val="none" w:color="000000" w:sz="4"/>
              <w:left w:val="none" w:color="000000" w:sz="4"/>
              <w:bottom w:val="none" w:color="000000" w:sz="4"/>
              <w:right w:val="single" w:color="333333" w:sz="4"/>
            </w:tcBorders>
          </w:tcPr>
          <w:p/>
        </w:tc>
        <w:tc>
          <w:tcPr>
            <w:tcW w:type="dxa" w:w="737"/>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单独审核预算造价</w:t>
            </w:r>
          </w:p>
        </w:tc>
        <w:tc>
          <w:tcPr>
            <w:tcW w:type="dxa" w:w="2137"/>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依据施工图、工程量清单审核工程量清单报价，出具工程报价书或审核报告</w:t>
            </w:r>
          </w:p>
        </w:tc>
        <w:tc>
          <w:tcPr>
            <w:tcW w:type="dxa" w:w="973"/>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送审预算造价（预算价、招标控制价）</w:t>
            </w:r>
          </w:p>
        </w:tc>
        <w:tc>
          <w:tcPr>
            <w:tcW w:type="dxa" w:w="604"/>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1.44‰</w:t>
            </w:r>
          </w:p>
        </w:tc>
        <w:tc>
          <w:tcPr>
            <w:tcW w:type="dxa" w:w="531"/>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1.28‰</w:t>
            </w:r>
          </w:p>
        </w:tc>
        <w:tc>
          <w:tcPr>
            <w:tcW w:type="dxa" w:w="531"/>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1.12‰</w:t>
            </w:r>
          </w:p>
        </w:tc>
        <w:tc>
          <w:tcPr>
            <w:tcW w:type="dxa" w:w="649"/>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0.96‰</w:t>
            </w:r>
          </w:p>
        </w:tc>
        <w:tc>
          <w:tcPr>
            <w:tcW w:type="dxa" w:w="708"/>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0.63‰</w:t>
            </w:r>
          </w:p>
        </w:tc>
        <w:tc>
          <w:tcPr>
            <w:tcW w:type="dxa" w:w="545"/>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0.48‰</w:t>
            </w:r>
          </w:p>
        </w:tc>
      </w:tr>
      <w:tr>
        <w:tc>
          <w:tcPr>
            <w:tcW w:type="dxa" w:w="531"/>
            <w:tcBorders>
              <w:top w:val="none" w:color="000000" w:sz="4"/>
              <w:left w:val="single" w:color="333333" w:sz="4"/>
              <w:bottom w:val="single" w:color="333333" w:sz="4"/>
              <w:right w:val="single" w:color="333333" w:sz="4"/>
            </w:tcBorders>
            <w:tcMar>
              <w:top w:type="dxa" w:w="0"/>
              <w:left w:type="dxa" w:w="105"/>
              <w:bottom w:type="dxa" w:w="0"/>
              <w:right w:type="dxa" w:w="105"/>
            </w:tcMar>
            <w:vAlign w:val="top"/>
          </w:tcPr>
          <w:p>
            <w:pPr>
              <w:pStyle w:val="null3"/>
              <w:jc w:val="center"/>
            </w:pPr>
            <w:r>
              <w:rPr>
                <w:sz w:val="21"/>
                <w:color w:val="000000"/>
              </w:rPr>
              <w:t>4</w:t>
            </w:r>
          </w:p>
        </w:tc>
        <w:tc>
          <w:tcPr>
            <w:tcW w:type="dxa" w:w="1091"/>
            <w:gridSpan w:val="2"/>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工程变更审核</w:t>
            </w:r>
          </w:p>
        </w:tc>
        <w:tc>
          <w:tcPr>
            <w:tcW w:type="dxa" w:w="2137"/>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依据变更资料、合同等审核变更工程量及报价，出具审核报告</w:t>
            </w:r>
          </w:p>
        </w:tc>
        <w:tc>
          <w:tcPr>
            <w:tcW w:type="dxa" w:w="973"/>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送审变更价</w:t>
            </w:r>
          </w:p>
        </w:tc>
        <w:tc>
          <w:tcPr>
            <w:tcW w:type="dxa" w:w="604"/>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2.24‰</w:t>
            </w:r>
          </w:p>
        </w:tc>
        <w:tc>
          <w:tcPr>
            <w:tcW w:type="dxa" w:w="531"/>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2.0‰</w:t>
            </w:r>
          </w:p>
        </w:tc>
        <w:tc>
          <w:tcPr>
            <w:tcW w:type="dxa" w:w="531"/>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1.76‰</w:t>
            </w:r>
          </w:p>
        </w:tc>
        <w:tc>
          <w:tcPr>
            <w:tcW w:type="dxa" w:w="649"/>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1.28‰</w:t>
            </w:r>
          </w:p>
        </w:tc>
        <w:tc>
          <w:tcPr>
            <w:tcW w:type="dxa" w:w="708"/>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0.91‰</w:t>
            </w:r>
          </w:p>
        </w:tc>
        <w:tc>
          <w:tcPr>
            <w:tcW w:type="dxa" w:w="545"/>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0.6‰</w:t>
            </w:r>
          </w:p>
        </w:tc>
      </w:tr>
      <w:tr>
        <w:tc>
          <w:tcPr>
            <w:tcW w:type="dxa" w:w="531"/>
            <w:vMerge w:val="restart"/>
            <w:tcBorders>
              <w:top w:val="none" w:color="000000" w:sz="4"/>
              <w:left w:val="single" w:color="333333" w:sz="4"/>
              <w:bottom w:val="single" w:color="333333" w:sz="4"/>
              <w:right w:val="single" w:color="333333" w:sz="4"/>
            </w:tcBorders>
            <w:tcMar>
              <w:top w:type="dxa" w:w="0"/>
              <w:left w:type="dxa" w:w="105"/>
              <w:bottom w:type="dxa" w:w="0"/>
              <w:right w:type="dxa" w:w="105"/>
            </w:tcMar>
            <w:vAlign w:val="top"/>
          </w:tcPr>
          <w:p>
            <w:pPr>
              <w:pStyle w:val="null3"/>
              <w:jc w:val="center"/>
            </w:pPr>
            <w:r>
              <w:rPr>
                <w:sz w:val="21"/>
                <w:color w:val="000000"/>
              </w:rPr>
              <w:t>5</w:t>
            </w:r>
          </w:p>
        </w:tc>
        <w:tc>
          <w:tcPr>
            <w:tcW w:type="dxa" w:w="354"/>
            <w:vMerge w:val="restart"/>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工程结算</w:t>
            </w:r>
          </w:p>
        </w:tc>
        <w:tc>
          <w:tcPr>
            <w:tcW w:type="dxa" w:w="737"/>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(1)基本收费</w:t>
            </w:r>
          </w:p>
        </w:tc>
        <w:tc>
          <w:tcPr>
            <w:tcW w:type="dxa" w:w="2137"/>
            <w:vMerge w:val="restart"/>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依据竣工图、签证资料、工程结算书等进行审核，出具工程结算审核报告</w:t>
            </w:r>
          </w:p>
        </w:tc>
        <w:tc>
          <w:tcPr>
            <w:tcW w:type="dxa" w:w="973"/>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送审结算价</w:t>
            </w:r>
          </w:p>
        </w:tc>
        <w:tc>
          <w:tcPr>
            <w:tcW w:type="dxa" w:w="604"/>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2.24‰</w:t>
            </w:r>
          </w:p>
        </w:tc>
        <w:tc>
          <w:tcPr>
            <w:tcW w:type="dxa" w:w="531"/>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2.0‰</w:t>
            </w:r>
          </w:p>
        </w:tc>
        <w:tc>
          <w:tcPr>
            <w:tcW w:type="dxa" w:w="531"/>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1.76‰</w:t>
            </w:r>
          </w:p>
        </w:tc>
        <w:tc>
          <w:tcPr>
            <w:tcW w:type="dxa" w:w="649"/>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1.28‰</w:t>
            </w:r>
          </w:p>
        </w:tc>
        <w:tc>
          <w:tcPr>
            <w:tcW w:type="dxa" w:w="708"/>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0.91‰</w:t>
            </w:r>
          </w:p>
        </w:tc>
        <w:tc>
          <w:tcPr>
            <w:tcW w:type="dxa" w:w="545"/>
            <w:tcBorders>
              <w:top w:val="single" w:color="333333"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0.6‰</w:t>
            </w:r>
          </w:p>
        </w:tc>
      </w:tr>
      <w:tr>
        <w:tc>
          <w:tcPr>
            <w:tcW w:type="dxa" w:w="531"/>
            <w:vMerge/>
            <w:tcBorders>
              <w:top w:val="none" w:color="000000" w:sz="4"/>
              <w:left w:val="single" w:color="333333" w:sz="4"/>
              <w:bottom w:val="single" w:color="333333" w:sz="4"/>
              <w:right w:val="single" w:color="333333" w:sz="4"/>
            </w:tcBorders>
          </w:tcPr>
          <w:p/>
        </w:tc>
        <w:tc>
          <w:tcPr>
            <w:tcW w:type="dxa" w:w="354"/>
            <w:vMerge/>
            <w:tcBorders>
              <w:top w:val="none" w:color="000000" w:sz="4"/>
              <w:left w:val="none" w:color="000000" w:sz="4"/>
              <w:bottom w:val="single" w:color="333333" w:sz="4"/>
              <w:right w:val="single" w:color="333333" w:sz="4"/>
            </w:tcBorders>
          </w:tcPr>
          <w:p/>
        </w:tc>
        <w:tc>
          <w:tcPr>
            <w:tcW w:type="dxa" w:w="737"/>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(2)效益收费</w:t>
            </w:r>
          </w:p>
        </w:tc>
        <w:tc>
          <w:tcPr>
            <w:tcW w:type="dxa" w:w="2137"/>
            <w:vMerge/>
            <w:tcBorders>
              <w:top w:val="none" w:color="000000" w:sz="4"/>
              <w:left w:val="none" w:color="000000" w:sz="4"/>
              <w:bottom w:val="single" w:color="333333" w:sz="4"/>
              <w:right w:val="single" w:color="333333" w:sz="4"/>
            </w:tcBorders>
          </w:tcPr>
          <w:p/>
        </w:tc>
        <w:tc>
          <w:tcPr>
            <w:tcW w:type="dxa" w:w="973"/>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|核减额|</w:t>
            </w:r>
          </w:p>
        </w:tc>
        <w:tc>
          <w:tcPr>
            <w:tcW w:type="dxa" w:w="3568"/>
            <w:gridSpan w:val="6"/>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center"/>
            </w:pPr>
            <w:r>
              <w:rPr>
                <w:sz w:val="21"/>
                <w:color w:val="000000"/>
              </w:rPr>
              <w:t>2%</w:t>
            </w:r>
          </w:p>
        </w:tc>
      </w:tr>
      <w:tr>
        <w:tc>
          <w:tcPr>
            <w:tcW w:type="dxa" w:w="531"/>
            <w:vMerge w:val="restart"/>
            <w:tcBorders>
              <w:top w:val="none" w:color="000000" w:sz="4"/>
              <w:left w:val="single" w:color="333333" w:sz="4"/>
              <w:bottom w:val="none" w:color="000000" w:sz="4"/>
              <w:right w:val="none" w:color="000000" w:sz="4"/>
            </w:tcBorders>
            <w:tcMar>
              <w:top w:type="dxa" w:w="0"/>
              <w:left w:type="dxa" w:w="105"/>
              <w:bottom w:type="dxa" w:w="0"/>
              <w:right w:type="dxa" w:w="105"/>
            </w:tcMar>
            <w:vAlign w:val="top"/>
          </w:tcPr>
          <w:p>
            <w:pPr>
              <w:pStyle w:val="null3"/>
              <w:jc w:val="left"/>
            </w:pPr>
            <w:r>
              <w:rPr>
                <w:sz w:val="21"/>
                <w:color w:val="000000"/>
              </w:rPr>
              <w:t>说明：</w:t>
            </w:r>
          </w:p>
        </w:tc>
        <w:tc>
          <w:tcPr>
            <w:tcW w:type="dxa" w:w="7769"/>
            <w:gridSpan w:val="10"/>
            <w:tcBorders>
              <w:top w:val="none" w:color="000000" w:sz="4"/>
              <w:left w:val="none" w:color="000000" w:sz="4"/>
              <w:bottom w:val="none" w:color="000000" w:sz="4"/>
              <w:right w:val="single" w:color="333333" w:sz="4"/>
            </w:tcBorders>
            <w:tcMar>
              <w:top w:type="dxa" w:w="0"/>
              <w:left w:type="dxa" w:w="105"/>
              <w:bottom w:type="dxa" w:w="0"/>
              <w:right w:type="dxa" w:w="105"/>
            </w:tcMar>
            <w:vAlign w:val="top"/>
          </w:tcPr>
          <w:p>
            <w:pPr>
              <w:pStyle w:val="null3"/>
              <w:jc w:val="left"/>
            </w:pPr>
            <w:r>
              <w:rPr>
                <w:sz w:val="21"/>
                <w:color w:val="000000"/>
              </w:rPr>
              <w:t>1.按以上收费标准计算费用后×中标折扣率-扣罚费用后为中标咨询人的最终收费 。</w:t>
            </w:r>
          </w:p>
        </w:tc>
      </w:tr>
      <w:tr>
        <w:tc>
          <w:tcPr>
            <w:tcW w:type="dxa" w:w="531"/>
            <w:vMerge/>
            <w:tcBorders>
              <w:top w:val="none" w:color="000000" w:sz="4"/>
              <w:left w:val="single" w:color="333333" w:sz="4"/>
              <w:bottom w:val="none" w:color="000000" w:sz="4"/>
              <w:right w:val="none" w:color="000000" w:sz="4"/>
            </w:tcBorders>
          </w:tcPr>
          <w:p/>
        </w:tc>
        <w:tc>
          <w:tcPr>
            <w:tcW w:type="dxa" w:w="7769"/>
            <w:gridSpan w:val="10"/>
            <w:tcBorders>
              <w:top w:val="none" w:color="000000" w:sz="4"/>
              <w:left w:val="none" w:color="000000" w:sz="4"/>
              <w:bottom w:val="none" w:color="000000" w:sz="4"/>
              <w:right w:val="single" w:color="333333" w:sz="4"/>
            </w:tcBorders>
            <w:tcMar>
              <w:top w:type="dxa" w:w="0"/>
              <w:left w:type="dxa" w:w="105"/>
              <w:bottom w:type="dxa" w:w="0"/>
              <w:right w:type="dxa" w:w="105"/>
            </w:tcMar>
            <w:vAlign w:val="top"/>
          </w:tcPr>
          <w:p>
            <w:pPr>
              <w:pStyle w:val="null3"/>
              <w:jc w:val="left"/>
            </w:pPr>
            <w:r>
              <w:rPr>
                <w:sz w:val="21"/>
                <w:color w:val="000000"/>
              </w:rPr>
              <w:t>2.最终收费不足1000元的按1000元收取，但因扣罚造成的除外。</w:t>
            </w:r>
          </w:p>
        </w:tc>
      </w:tr>
      <w:tr>
        <w:tc>
          <w:tcPr>
            <w:tcW w:type="dxa" w:w="531"/>
            <w:vMerge/>
            <w:tcBorders>
              <w:top w:val="none" w:color="000000" w:sz="4"/>
              <w:left w:val="single" w:color="333333" w:sz="4"/>
              <w:bottom w:val="none" w:color="000000" w:sz="4"/>
              <w:right w:val="none" w:color="000000" w:sz="4"/>
            </w:tcBorders>
          </w:tcPr>
          <w:p/>
        </w:tc>
        <w:tc>
          <w:tcPr>
            <w:tcW w:type="dxa" w:w="7769"/>
            <w:gridSpan w:val="10"/>
            <w:tcBorders>
              <w:top w:val="none" w:color="000000" w:sz="4"/>
              <w:left w:val="none" w:color="000000" w:sz="4"/>
              <w:bottom w:val="none" w:color="000000" w:sz="4"/>
              <w:right w:val="single" w:color="333333" w:sz="4"/>
            </w:tcBorders>
            <w:tcMar>
              <w:top w:type="dxa" w:w="0"/>
              <w:left w:type="dxa" w:w="105"/>
              <w:bottom w:type="dxa" w:w="0"/>
              <w:right w:type="dxa" w:w="105"/>
            </w:tcMar>
            <w:vAlign w:val="top"/>
          </w:tcPr>
          <w:p>
            <w:pPr>
              <w:pStyle w:val="null3"/>
              <w:jc w:val="left"/>
            </w:pPr>
            <w:r>
              <w:rPr>
                <w:sz w:val="21"/>
                <w:color w:val="000000"/>
              </w:rPr>
              <w:t>3.工程主材若不计入工程造价，则不计入取费基数；合同包干价加签证项目，包干价部分计入取费基数；委托审核工程结算时，施工合同约定的下浮额和暂列金不作核减额计费。</w:t>
            </w:r>
          </w:p>
        </w:tc>
      </w:tr>
      <w:tr>
        <w:tc>
          <w:tcPr>
            <w:tcW w:type="dxa" w:w="531"/>
            <w:vMerge/>
            <w:tcBorders>
              <w:top w:val="none" w:color="000000" w:sz="4"/>
              <w:left w:val="single" w:color="333333" w:sz="4"/>
              <w:bottom w:val="none" w:color="000000" w:sz="4"/>
              <w:right w:val="none" w:color="000000" w:sz="4"/>
            </w:tcBorders>
          </w:tcPr>
          <w:p/>
        </w:tc>
        <w:tc>
          <w:tcPr>
            <w:tcW w:type="dxa" w:w="7769"/>
            <w:gridSpan w:val="10"/>
            <w:tcBorders>
              <w:top w:val="none" w:color="000000" w:sz="4"/>
              <w:left w:val="none" w:color="000000" w:sz="4"/>
              <w:bottom w:val="none" w:color="000000" w:sz="4"/>
              <w:right w:val="single" w:color="333333" w:sz="4"/>
            </w:tcBorders>
            <w:tcMar>
              <w:top w:type="dxa" w:w="0"/>
              <w:left w:type="dxa" w:w="105"/>
              <w:bottom w:type="dxa" w:w="0"/>
              <w:right w:type="dxa" w:w="105"/>
            </w:tcMar>
            <w:vAlign w:val="top"/>
          </w:tcPr>
          <w:p>
            <w:pPr>
              <w:pStyle w:val="null3"/>
              <w:jc w:val="left"/>
            </w:pPr>
            <w:r>
              <w:rPr>
                <w:sz w:val="21"/>
                <w:color w:val="000000"/>
              </w:rPr>
              <w:t>4.结算审核计费=基本收费+效益收费。</w:t>
            </w:r>
          </w:p>
        </w:tc>
      </w:tr>
      <w:tr>
        <w:tc>
          <w:tcPr>
            <w:tcW w:type="dxa" w:w="531"/>
            <w:vMerge/>
            <w:tcBorders>
              <w:top w:val="none" w:color="000000" w:sz="4"/>
              <w:left w:val="single" w:color="333333" w:sz="4"/>
              <w:bottom w:val="none" w:color="000000" w:sz="4"/>
              <w:right w:val="none" w:color="000000" w:sz="4"/>
            </w:tcBorders>
          </w:tcPr>
          <w:p/>
        </w:tc>
        <w:tc>
          <w:tcPr>
            <w:tcW w:type="dxa" w:w="7769"/>
            <w:gridSpan w:val="10"/>
            <w:tcBorders>
              <w:top w:val="none" w:color="000000" w:sz="4"/>
              <w:left w:val="none" w:color="000000" w:sz="4"/>
              <w:bottom w:val="none" w:color="000000" w:sz="4"/>
              <w:right w:val="single" w:color="333333" w:sz="4"/>
            </w:tcBorders>
            <w:tcMar>
              <w:top w:type="dxa" w:w="0"/>
              <w:left w:type="dxa" w:w="105"/>
              <w:bottom w:type="dxa" w:w="0"/>
              <w:right w:type="dxa" w:w="105"/>
            </w:tcMar>
            <w:vAlign w:val="top"/>
          </w:tcPr>
          <w:p>
            <w:pPr>
              <w:pStyle w:val="null3"/>
              <w:jc w:val="left"/>
            </w:pPr>
            <w:r>
              <w:rPr>
                <w:sz w:val="21"/>
                <w:color w:val="000000"/>
              </w:rPr>
              <w:t>5.计费均按差额定率累进计算。</w:t>
            </w:r>
          </w:p>
        </w:tc>
      </w:tr>
      <w:tr>
        <w:tc>
          <w:tcPr>
            <w:tcW w:type="dxa" w:w="531"/>
            <w:vMerge/>
            <w:tcBorders>
              <w:top w:val="none" w:color="000000" w:sz="4"/>
              <w:left w:val="single" w:color="333333" w:sz="4"/>
              <w:bottom w:val="none" w:color="000000" w:sz="4"/>
              <w:right w:val="none" w:color="000000" w:sz="4"/>
            </w:tcBorders>
          </w:tcPr>
          <w:p/>
        </w:tc>
        <w:tc>
          <w:tcPr>
            <w:tcW w:type="dxa" w:w="7769"/>
            <w:gridSpan w:val="10"/>
            <w:tcBorders>
              <w:top w:val="none" w:color="000000" w:sz="4"/>
              <w:left w:val="none" w:color="000000" w:sz="4"/>
              <w:bottom w:val="none" w:color="000000" w:sz="4"/>
              <w:right w:val="single" w:color="333333" w:sz="4"/>
            </w:tcBorders>
            <w:tcMar>
              <w:top w:type="dxa" w:w="0"/>
              <w:left w:type="dxa" w:w="105"/>
              <w:bottom w:type="dxa" w:w="0"/>
              <w:right w:type="dxa" w:w="105"/>
            </w:tcMar>
            <w:vAlign w:val="top"/>
          </w:tcPr>
          <w:p>
            <w:pPr>
              <w:pStyle w:val="null3"/>
              <w:jc w:val="left"/>
            </w:pPr>
            <w:r>
              <w:rPr>
                <w:sz w:val="21"/>
                <w:color w:val="000000"/>
              </w:rPr>
              <w:t>6.公路交通项目以及轨道交通中的区间工程、设备费用占建安费80%以上的工程、疏浚工程及土方工程等单一工程的估、概、预算审核费用以及结算审核的基本收费，按上述计费标准的50%作为收费标准。</w:t>
            </w:r>
          </w:p>
        </w:tc>
      </w:tr>
      <w:tr>
        <w:tc>
          <w:tcPr>
            <w:tcW w:type="dxa" w:w="531"/>
            <w:vMerge/>
            <w:tcBorders>
              <w:top w:val="none" w:color="000000" w:sz="4"/>
              <w:left w:val="single" w:color="333333" w:sz="4"/>
              <w:bottom w:val="none" w:color="000000" w:sz="4"/>
              <w:right w:val="none" w:color="000000" w:sz="4"/>
            </w:tcBorders>
          </w:tcPr>
          <w:p/>
        </w:tc>
        <w:tc>
          <w:tcPr>
            <w:tcW w:type="dxa" w:w="7769"/>
            <w:gridSpan w:val="10"/>
            <w:tcBorders>
              <w:top w:val="none" w:color="000000" w:sz="4"/>
              <w:left w:val="none" w:color="000000" w:sz="4"/>
              <w:bottom w:val="none" w:color="000000" w:sz="4"/>
              <w:right w:val="single" w:color="333333" w:sz="4"/>
            </w:tcBorders>
            <w:tcMar>
              <w:top w:type="dxa" w:w="0"/>
              <w:left w:type="dxa" w:w="105"/>
              <w:bottom w:type="dxa" w:w="0"/>
              <w:right w:type="dxa" w:w="105"/>
            </w:tcMar>
            <w:vAlign w:val="top"/>
          </w:tcPr>
          <w:p>
            <w:pPr>
              <w:pStyle w:val="null3"/>
              <w:jc w:val="left"/>
            </w:pPr>
            <w:r>
              <w:rPr>
                <w:sz w:val="21"/>
                <w:color w:val="000000"/>
              </w:rPr>
              <w:t>7.弃审补偿标准：</w:t>
            </w:r>
            <w:r>
              <w:br/>
            </w:r>
            <w:r>
              <w:rPr>
                <w:sz w:val="21"/>
                <w:color w:val="000000"/>
              </w:rPr>
              <w:t xml:space="preserve">    </w:t>
            </w:r>
            <w:r>
              <w:rPr>
                <w:sz w:val="21"/>
                <w:color w:val="000000"/>
              </w:rPr>
              <w:t>在审核过程中出现因采购人原因引起退件弃审的情况，对未提交审核初稿，不支付审核费；对已提交初稿但未进行对数的工程按协议价的</w:t>
            </w:r>
            <w:r>
              <w:rPr>
                <w:sz w:val="21"/>
                <w:color w:val="000000"/>
              </w:rPr>
              <w:t>60%支付审核费；对已提交初稿并已进行对数的工程按协议价的70%支付审核费；对已办理定案手续且送审单位已盖章确认报告的工程按协议价的100%支付审核费。以上弃审补偿标准均不计算效益收费。若退件弃审由审核方原因引起的，采购人则无需向审核方支付审核费。退件弃审表示该工程审核工作不再继续，审核任务不再由原审核方承担，如弃审后又需要原审核方审核的，则按原收费标准计算审核费，并扣除已支付部分后，支付剩余部分费用。</w:t>
            </w:r>
          </w:p>
        </w:tc>
      </w:tr>
      <w:tr>
        <w:tc>
          <w:tcPr>
            <w:tcW w:type="dxa" w:w="531"/>
            <w:vMerge/>
            <w:tcBorders>
              <w:top w:val="none" w:color="000000" w:sz="4"/>
              <w:left w:val="single" w:color="333333" w:sz="4"/>
              <w:bottom w:val="none" w:color="000000" w:sz="4"/>
              <w:right w:val="none" w:color="000000" w:sz="4"/>
            </w:tcBorders>
          </w:tcPr>
          <w:p/>
        </w:tc>
        <w:tc>
          <w:tcPr>
            <w:tcW w:type="dxa" w:w="7769"/>
            <w:gridSpan w:val="10"/>
            <w:tcBorders>
              <w:top w:val="none" w:color="000000" w:sz="4"/>
              <w:left w:val="none" w:color="000000" w:sz="4"/>
              <w:bottom w:val="single" w:color="333333" w:sz="4"/>
              <w:right w:val="single" w:color="333333" w:sz="4"/>
            </w:tcBorders>
            <w:tcMar>
              <w:top w:type="dxa" w:w="0"/>
              <w:left w:type="dxa" w:w="105"/>
              <w:bottom w:type="dxa" w:w="0"/>
              <w:right w:type="dxa" w:w="105"/>
            </w:tcMar>
            <w:vAlign w:val="top"/>
          </w:tcPr>
          <w:p>
            <w:pPr>
              <w:pStyle w:val="null3"/>
              <w:jc w:val="left"/>
            </w:pPr>
            <w:r>
              <w:rPr>
                <w:sz w:val="21"/>
                <w:color w:val="000000"/>
              </w:rPr>
              <w:t>8.未尽事宜参照粤价函[2011]742号文的有关收费标准下浮20%后执行。</w:t>
            </w:r>
          </w:p>
        </w:tc>
      </w:tr>
    </w:tbl>
    <w:p>
      <w:pPr>
        <w:pStyle w:val="null3"/>
      </w:pPr>
      <w:r>
        <w:rPr/>
        <w:t>采购包1（2025-2026年杏坛镇工程造价评审服务项目（包组1））</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★合同金额达到采购预算金额或自合同签订之日起至2026年12月31日止，以先到达的为准。</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付款方式：1.每项审核服务业务须另行签订委托合同，审核费按半年度结算，中标人向采购人提交支付申请，经采购人核对无误后，中标人向采购人提交合法、有效的发票，由采购人按程序办理拨付。 2.费用标准：中标折扣率×按计费标准计算的费用—扣罚费用（如有）。 3.计费标准：见附件《杏坛镇财政资金投资评审工程造价咨询服务收费项目和收费标准表》，具体计算方法按招标文件和协议书的约定执行。 4.合同执行过程中，如采购人根据上级文件精神或工作实际，对计费标准及付费方式进行调整，中标人有权根据企业自身情况作出继续接受委托或退出委托的选择，此时如中标人选择退出，采购人将不作任何补偿。</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1期：★验收要求：1.中标人须为验收提供必需的一切条件。2.项目验收依次序对照执行标准 ：（1）符合中华人民共和国国家和履约地相关安全质量标准、行业技术规范标准、环保节能标准；（2）符合招标文件和投标承诺中各方共同认可的各项要求；（3）上述各类标准与法规必须是有关官方机构最新发布的现行标准版本。</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★付款方式补充，1.中标人凭以下有效文件进行结算： （1）合同； （2）正式等额合法有效发票，收款方、出具发票方、合同乙方均必须与中标人名称一致；（3）中标通知书；（4）请款函。 2.付款期间如因特殊情况需调整，由双方协商处理。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（一）本项目以折扣率报价。折扣率数值最多精确到小数点后两位，报价范围为：0%＜折扣率≤100%。 （二）投标报价包含但不限于以下费用：完成本项目所有工作内容的成本费、劳务费、交通费、场地费、采购代理费用、成果文件费用、税金（全额含税发票）、雇员费用以及项目实施过程中其它应预见和不可预见费用等完成本采购项目、达到采购人目的的一切费用及企业利润。 （三）投标人必须自行考虑在本项目实施期间的一切可能产生的费用，在项目的实施过程中，采购人除了支付合同付款方式中规定的款项外，一切合同规定外的费用将拒绝支付。</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成果文件要求</w:t>
            </w:r>
          </w:p>
        </w:tc>
        <w:tc>
          <w:tcPr>
            <w:tcW w:type="dxa" w:w="2076"/>
          </w:tcPr>
          <w:p>
            <w:pPr>
              <w:pStyle w:val="null3"/>
              <w:jc w:val="left"/>
            </w:pPr>
            <w:r>
              <w:rPr/>
              <w:t>（一）过程的审核痕迹资料。包括审核过程发现的问题与处理意见，与建设单位、建设单位委托的中介单位、施工单位在协调、取证、对数等过程中提出的问题及处理意见。 （二）对于技术交底各项要求的响应。 （三）审核结果与报送结果差异的分析。应把差异的每项内容列举，并简要分析。 （四）工程主要指标分析。 （五）工程量复核计算稿。 （六）现场勘察的照片。 （七）按委托人要求提交成果资料。</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违约责任</w:t>
            </w:r>
          </w:p>
        </w:tc>
        <w:tc>
          <w:tcPr>
            <w:tcW w:type="dxa" w:w="2076"/>
          </w:tcPr>
          <w:p>
            <w:pPr>
              <w:pStyle w:val="null3"/>
              <w:jc w:val="left"/>
            </w:pPr>
            <w:r>
              <w:rPr/>
              <w:t>对中标人出现审核质量问题、审核超时、违反程序和泄密等违约行为的，采购人有权对违约中标人按委托协议进行警告、减少委托任务、扣减委托费、解除委托，并对其所造成的经济损失和法律纠纷依法追究经济和法律责任。 （一）对出现审核质量问题的处罚。为实施对审价结果准确性的监督，采购人有权委托有关部门、其他审价机构对中标人的编审结果进行复审，如经复审发现中标人的编审结果与复核结果存在差异且偏差率i超过以下情况的（其中i=(审价机构审核金额-经确认的复核金额)/经确认的复核金额），且证实是中标人审核结果存在问题的，对相应的中标人作出如下的处理： 1、︱i︱≦10%内（︱i︱为i的数学绝对值），对负责审价的中标人进行口头或书面警告处理。但子项偏差超过50万元以上的项目，每出现一次按扣减委托费的5%处理，累计扣减不超过委托费的10%。 2、10%＜︱i︱≦20%的，扣减委托费的20%。 3、20%＜︱i︱≦30%的，扣减委托费的30%， 4、︱i︱＞30%，扣减委托费的100%，若在协议期内，出现两次上述情况，则终止委托协议关系。 5、出错情节特别严重的，可作出减少委托任务或提出取消其委托合作关系的处理。 6、对已拨付委托费但事后需要抽查或审计的项目，若负责审价的中标人提供的审核结果有问题需扣减相应委托费的，在该中标人今后实施的项目委托费中抵扣。 （二）逾期的处罚。建设单位报送资料齐全，因审价的中标人自身因素，未能按约定的时间提交初稿和定案稿进行复核和对复审意见处理不及时的，按如下规定处理： 1、逾期5个工作日内的，扣减委托费的20%。 2、逾期超过5个工作日又未达到10个工作日的，扣减委托费的50%。 3、逾期超过10个工作日，扣减委托费的100%，并终止委托协议关系。 （三）中标人不按协议完成委托业务、审核中出现严重错误或发生与委托业务相抵触的行为，除中标人与委托项目有利害关系需回避外，对在协议期间拒绝接受分配任务的中标人，采购人有权终止该中标人的服务合同，追究其相关的法律和经济责任，所造成的一切损失由其负责。 （四）实行廉政建设一票否决制。委托服务期间，采购人若发现中标人或中标人审核人员有弄虚作假、玩忽职守、徇私舞弊等违规违纪现象，或与施工、设计、监理和编制等单位串通，违反诚实信用和投标承诺等，以谋取非法利益或损害政府利益的，一经采购人查实，采购人有权对违约中标人按委托协议约定进行警告、扣减委托费、减少委托任务、解除委托和不得参与采购人下一次相同项目投标等处罚，并对其所造成的经济损失和法律纠纷依法追究经济和法律责任。 （五）对拒绝接受采购人监督检查和管理的中标人，采购人有权解除合同。 （六）中标人必须独立完成采购人委托的评审任务，不得将评审业务转让给第三方实施。采购人若发现中标人将采购人委托的评审业务转让给第三方实施的，一经证实，采购人有权对违约中标人按委托协议约定解除委托，并对其所造成的经济损失和法律纠纷依法追究经济和法律责任。 （七）因中标人原因导致项目评审结论不实，引起诉讼和纠纷的，该中标人除承担相关责任外，采购人还将根据情节的严重程度对此中标人作出通报批评、扣减评审费用、停止委托新的评审任务和解除委托服务协议书等处罚。 （八）对中标人出现的其他严重违法违规行为，采购人有权终止该中标人的审核活动，追究其相关的法律和经济责任，所造成的一切损失由其负责。 （九）清退规则 服务期内，中标人出现下列情况，所涉及项目未支付的委托费用不再支付、已委托尚未开展的新项目解除委托、即时取消本项目服务资格；若发生经济损失或涉及法律纠纷，委托人将依法追究相关单位及人员的经济和法律责任： 1、无正当理由逾期 10个工作日以上不能按评审任务通知书及技术交底提交造价成果的。 2、中标人及审核人员工作出现重大过失，引起诉讼或纠纷，给评审工作造成损失或严重后果的。 3、违反诚信及廉政建设要求的：中标人及其相关人员有徇私舞弊；违反国家、省及财政部门有关保密规定，泄露评审时知悉的国家机密和商业秘密；未经业务委托的相关部门同意，向项目以外的其他单位或个人披露评审项目的有关信息，对外提供、泄露或公开评审有关情况；与建设、施工、设计、监理、其他中介咨询单位等串通，违反诚实信用和投标承诺，谋取非法利益或损害政府利益的。 4、在委托业务审核过程中，与委托项目有利害关系应回避而未回避的。 5、服务期内，非应回避的原因拒绝接受委托任务达到二次的。 6、违反投标文件中关于到现场服务时间的承诺达到二次的。 7、将委托的评审业务转让给第三方实施的。 8、拒绝接受采购人监督检查和管理的。 9、清查中发现人员配备情况与中标承诺不符，在委托人规定时限内未完成整改的。 10、出现信用危机、财务危机、生产经营危机，甚至破产无法继续履行合同的。</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保密要求</w:t>
            </w:r>
          </w:p>
        </w:tc>
        <w:tc>
          <w:tcPr>
            <w:tcW w:type="dxa" w:w="2076"/>
          </w:tcPr>
          <w:p>
            <w:pPr>
              <w:pStyle w:val="null3"/>
              <w:jc w:val="left"/>
            </w:pPr>
            <w:r>
              <w:rPr/>
              <w:t>（一）中标人应严格遵守采购人提出的各项规章制度和廉政纪律要求。 （二）为实施对中标人编审结果准确性的监督，采购人有权委托有关部门、其他中标人或由采购人对中标人的编审结果进行抽样复核、审查。对项目评审工作底稿等内容，采购人将随时随机进行抽查。中标人必须无条件配合采购人做好复审、复核和考核工作。 （三）中标人不得再接受除采购人外的其他委托人对同一项目服务委托，即不能就同一项目既接受财政部门的委托，又接受项目发包、承包单位等相对利益关系人的委托。 （四）与委托项目有厉害关系的，中标人须主动向采购人提出回避，可能对项目评审结论产生影响的，应当主动向采购人报告并进行回避。 （五）中标人对采购人委托的评审项目的有关资料、信息、报告及结论须承担保密责任，并对因泄密造成的后果负经济和法律责任。未经采购人许可，不得将上述情况泄露和提供给他人。</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其他咨询服务</w:t>
            </w:r>
          </w:p>
        </w:tc>
        <w:tc>
          <w:tcPr>
            <w:tcW w:type="dxa" w:w="831"/>
          </w:tcPr>
          <w:p>
            <w:pPr>
              <w:pStyle w:val="null3"/>
              <w:jc w:val="left"/>
            </w:pPr>
            <w:r>
              <w:rPr/>
              <w:t>2025-2026年杏坛镇工程造价评审服务项目（包组1）</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650,000.00</w:t>
            </w:r>
          </w:p>
        </w:tc>
        <w:tc>
          <w:tcPr>
            <w:tcW w:type="dxa" w:w="831"/>
          </w:tcPr>
          <w:p>
            <w:pPr>
              <w:pStyle w:val="null3"/>
              <w:jc w:val="right"/>
            </w:pPr>
            <w:r>
              <w:rPr/>
              <w:t>650,000.00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2025-2026年杏坛镇工程造价评审服务项目（包组1）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服务内容</w:t>
            </w:r>
          </w:p>
          <w:p>
            <w:pPr>
              <w:pStyle w:val="null3"/>
              <w:jc w:val="both"/>
            </w:pPr>
            <w:r>
              <w:rPr>
                <w:sz w:val="21"/>
              </w:rPr>
              <w:t>为加强财政投资工程预结算评审工作的管理，提高评审审核质量和效率，结合工作实际，按公开、公平、公正的原则，对评审机构进行招标，择优确定高素质、高质量和高效率的评审机构参与采购人委托的工程预结算审核工作，具体的评审工作按采购人的规章制度或文件要求开展。</w:t>
            </w:r>
          </w:p>
        </w:tc>
      </w:tr>
      <w:tr>
        <w:tc>
          <w:tcPr>
            <w:tcW w:type="dxa" w:w="2076"/>
          </w:tcPr>
          <w:p/>
        </w:tc>
        <w:tc>
          <w:tcPr>
            <w:tcW w:type="dxa" w:w="415"/>
          </w:tcPr>
          <w:p>
            <w:pPr>
              <w:pStyle w:val="null3"/>
            </w:pPr>
            <w:r>
              <w:rPr/>
              <w:t>2</w:t>
            </w:r>
          </w:p>
        </w:tc>
        <w:tc>
          <w:tcPr>
            <w:tcW w:type="dxa" w:w="5814"/>
          </w:tcPr>
          <w:p>
            <w:pPr>
              <w:pStyle w:val="null3"/>
              <w:jc w:val="both"/>
            </w:pPr>
            <w:r>
              <w:rPr>
                <w:sz w:val="21"/>
                <w:b/>
              </w:rPr>
              <w:t>服务范围及要求</w:t>
            </w:r>
          </w:p>
          <w:p>
            <w:pPr>
              <w:pStyle w:val="null3"/>
              <w:jc w:val="both"/>
            </w:pPr>
            <w:r>
              <w:rPr>
                <w:sz w:val="21"/>
              </w:rPr>
              <w:t>（一）杏坛镇范围内使用</w:t>
            </w:r>
            <w:r>
              <w:rPr>
                <w:sz w:val="21"/>
              </w:rPr>
              <w:t>镇财政性资金</w:t>
            </w:r>
            <w:r>
              <w:rPr>
                <w:sz w:val="21"/>
              </w:rPr>
              <w:t>且工程估算达到人民币</w:t>
            </w:r>
            <w:r>
              <w:rPr>
                <w:sz w:val="21"/>
              </w:rPr>
              <w:t>1000</w:t>
            </w:r>
            <w:r>
              <w:rPr>
                <w:sz w:val="21"/>
              </w:rPr>
              <w:t>万元或以上、概算、招标控制价（合同价</w:t>
            </w:r>
            <w:r>
              <w:rPr>
                <w:sz w:val="21"/>
              </w:rPr>
              <w:t>)</w:t>
            </w:r>
            <w:r>
              <w:rPr>
                <w:sz w:val="21"/>
              </w:rPr>
              <w:t>、结算，变更达到人民币</w:t>
            </w:r>
            <w:r>
              <w:rPr>
                <w:sz w:val="21"/>
              </w:rPr>
              <w:t>100</w:t>
            </w:r>
            <w:r>
              <w:rPr>
                <w:sz w:val="21"/>
              </w:rPr>
              <w:t>万元或以上的房屋建筑和市政公用工程、水利工程、送配电、园林绿化工程等。注</w:t>
            </w:r>
            <w:r>
              <w:rPr>
                <w:sz w:val="21"/>
              </w:rPr>
              <w:t xml:space="preserve">: </w:t>
            </w:r>
            <w:r>
              <w:rPr>
                <w:sz w:val="21"/>
              </w:rPr>
              <w:t>结算、变更评审项目金额可能包括人民币</w:t>
            </w:r>
            <w:r>
              <w:rPr>
                <w:sz w:val="21"/>
              </w:rPr>
              <w:t>10</w:t>
            </w:r>
            <w:r>
              <w:rPr>
                <w:sz w:val="21"/>
              </w:rPr>
              <w:t>万元以上项目。具体服务范围以实际委托为准。</w:t>
            </w:r>
          </w:p>
          <w:p>
            <w:pPr>
              <w:pStyle w:val="null3"/>
              <w:jc w:val="both"/>
            </w:pPr>
            <w:r>
              <w:rPr>
                <w:sz w:val="21"/>
              </w:rPr>
              <w:t>（二）项目估算、概算、预算审核：</w:t>
            </w:r>
          </w:p>
          <w:p>
            <w:pPr>
              <w:pStyle w:val="null3"/>
              <w:jc w:val="both"/>
            </w:pPr>
            <w:r>
              <w:rPr>
                <w:sz w:val="21"/>
              </w:rPr>
              <w:t>全面复核清单工程量、综合单价及材料单价、措施费和规费；复核的子项工程量在技术交底中确定，审核工程量的重点在临时工程、大包干项目、造价高比重大项目、图形复杂计量困难项目、新材料新工艺项目、图纸有缺陷项目等。分析工程量清单描述对应图纸的符合性及全面性、分析进行造价指标、对比同类工程单位造价及主要材料单位含量（或造价）指标，提供材料及设备的询价资料。</w:t>
            </w:r>
          </w:p>
          <w:p>
            <w:pPr>
              <w:pStyle w:val="null3"/>
              <w:jc w:val="both"/>
            </w:pPr>
            <w:r>
              <w:rPr>
                <w:sz w:val="21"/>
              </w:rPr>
              <w:t>（三）结算审核：</w:t>
            </w:r>
          </w:p>
          <w:p>
            <w:pPr>
              <w:pStyle w:val="null3"/>
              <w:jc w:val="both"/>
            </w:pPr>
            <w:r>
              <w:rPr>
                <w:sz w:val="21"/>
              </w:rPr>
              <w:t>全面复核工程量；工程签证与招标文件、合同约定及现场情况是否冲突；关注招标文件与施工合同文件的约定；工程量清单描述对应图纸的符合性及全面性；综合单价、材料单价的复核；增加工程中综合单价套用定额的复核，新材料、新工艺单价的分析及询价资料；工程索赔资料的分析。</w:t>
            </w:r>
          </w:p>
        </w:tc>
      </w:tr>
      <w:tr>
        <w:tc>
          <w:tcPr>
            <w:tcW w:type="dxa" w:w="2076"/>
          </w:tcPr>
          <w:p/>
        </w:tc>
        <w:tc>
          <w:tcPr>
            <w:tcW w:type="dxa" w:w="415"/>
          </w:tcPr>
          <w:p>
            <w:pPr>
              <w:pStyle w:val="null3"/>
            </w:pPr>
            <w:r>
              <w:rPr/>
              <w:t>3</w:t>
            </w:r>
          </w:p>
        </w:tc>
        <w:tc>
          <w:tcPr>
            <w:tcW w:type="dxa" w:w="5814"/>
          </w:tcPr>
          <w:p>
            <w:pPr>
              <w:pStyle w:val="null3"/>
              <w:jc w:val="both"/>
            </w:pPr>
            <w:r>
              <w:rPr>
                <w:sz w:val="21"/>
                <w:b/>
              </w:rPr>
              <w:t>评审项目任务分配方法</w:t>
            </w:r>
          </w:p>
          <w:p>
            <w:pPr>
              <w:pStyle w:val="null3"/>
              <w:jc w:val="both"/>
            </w:pPr>
            <w:r>
              <w:rPr>
                <w:sz w:val="21"/>
              </w:rPr>
              <w:t>（</w:t>
            </w:r>
            <w:r>
              <w:rPr>
                <w:sz w:val="21"/>
              </w:rPr>
              <w:t>一</w:t>
            </w:r>
            <w:r>
              <w:rPr>
                <w:sz w:val="21"/>
              </w:rPr>
              <w:t>）</w:t>
            </w:r>
            <w:r>
              <w:rPr>
                <w:sz w:val="21"/>
              </w:rPr>
              <w:t>原则：各中标人最终的审核费用，趋近于确定的审核费用配比。</w:t>
            </w:r>
          </w:p>
          <w:p>
            <w:pPr>
              <w:pStyle w:val="null3"/>
              <w:jc w:val="both"/>
            </w:pPr>
            <w:r>
              <w:rPr>
                <w:sz w:val="21"/>
              </w:rPr>
              <w:t>（</w:t>
            </w:r>
            <w:r>
              <w:rPr>
                <w:sz w:val="21"/>
              </w:rPr>
              <w:t>二</w:t>
            </w:r>
            <w:r>
              <w:rPr>
                <w:sz w:val="21"/>
              </w:rPr>
              <w:t>）</w:t>
            </w:r>
            <w:r>
              <w:rPr>
                <w:sz w:val="21"/>
              </w:rPr>
              <w:t>操作步骤：</w:t>
            </w:r>
          </w:p>
          <w:p>
            <w:pPr>
              <w:pStyle w:val="null3"/>
              <w:jc w:val="both"/>
            </w:pPr>
            <w:r>
              <w:rPr>
                <w:sz w:val="21"/>
              </w:rPr>
              <w:t>1</w:t>
            </w:r>
            <w:r>
              <w:rPr>
                <w:sz w:val="21"/>
              </w:rPr>
              <w:t>、</w:t>
            </w:r>
            <w:r>
              <w:rPr>
                <w:sz w:val="21"/>
              </w:rPr>
              <w:t>由采购人根据自身需求确定基准审核费用配比：按各中标费率由低到高，配比为</w:t>
            </w:r>
            <w:r>
              <w:rPr>
                <w:sz w:val="21"/>
              </w:rPr>
              <w:t>45%:35%:20%。如三个中标人费率相同，配比均分即33.33%：33.33%：33.33%（首轮项目抽签）；如两个中标人费率相同且费率最低，配比为40%：40%：20%（首轮项目抽签）；如两个中标人费率相同且费率最高，配比为45%：27.5%：27.5%（首轮项目抽签）</w:t>
            </w:r>
            <w:r>
              <w:rPr>
                <w:sz w:val="21"/>
              </w:rPr>
              <w:t>。</w:t>
            </w:r>
          </w:p>
          <w:p>
            <w:pPr>
              <w:pStyle w:val="null3"/>
              <w:jc w:val="both"/>
            </w:pPr>
            <w:r>
              <w:rPr>
                <w:sz w:val="21"/>
              </w:rPr>
              <w:t>2</w:t>
            </w:r>
            <w:r>
              <w:rPr>
                <w:sz w:val="21"/>
              </w:rPr>
              <w:t>、</w:t>
            </w:r>
            <w:r>
              <w:rPr>
                <w:sz w:val="21"/>
              </w:rPr>
              <w:t>首轮项目按中标人的中标折扣率由低到高依次委托。</w:t>
            </w:r>
          </w:p>
          <w:p>
            <w:pPr>
              <w:pStyle w:val="null3"/>
              <w:jc w:val="both"/>
            </w:pPr>
            <w:r>
              <w:rPr>
                <w:sz w:val="21"/>
              </w:rPr>
              <w:t>3、各中标人的首个项目完成后，计算各中标人的实际审核费用配比</w:t>
            </w:r>
            <w:r>
              <w:rPr>
                <w:sz w:val="21"/>
              </w:rPr>
              <w:t>（即，各中标人实际完成的审核费用占</w:t>
            </w:r>
            <w:r>
              <w:rPr>
                <w:sz w:val="21"/>
              </w:rPr>
              <w:t>已发生的总审核费用</w:t>
            </w:r>
            <w:r>
              <w:rPr>
                <w:sz w:val="21"/>
              </w:rPr>
              <w:t>的比例）。</w:t>
            </w:r>
          </w:p>
          <w:p>
            <w:pPr>
              <w:pStyle w:val="null3"/>
              <w:jc w:val="both"/>
            </w:pPr>
            <w:r>
              <w:rPr>
                <w:sz w:val="21"/>
              </w:rPr>
              <w:t>4</w:t>
            </w:r>
            <w:r>
              <w:rPr>
                <w:sz w:val="21"/>
              </w:rPr>
              <w:t>、</w:t>
            </w:r>
            <w:r>
              <w:rPr>
                <w:sz w:val="21"/>
              </w:rPr>
              <w:t>计算配比差</w:t>
            </w:r>
            <w:r>
              <w:rPr>
                <w:sz w:val="21"/>
              </w:rPr>
              <w:t>=实际审核费用配比-基准审核费用配比。配比差为负值最大的中标人确定为下一个项目委托人。</w:t>
            </w:r>
          </w:p>
          <w:p>
            <w:pPr>
              <w:pStyle w:val="null3"/>
              <w:jc w:val="both"/>
            </w:pPr>
            <w:r>
              <w:rPr>
                <w:sz w:val="21"/>
              </w:rPr>
              <w:t>（</w:t>
            </w:r>
            <w:r>
              <w:rPr>
                <w:sz w:val="21"/>
              </w:rPr>
              <w:t>三</w:t>
            </w:r>
            <w:r>
              <w:rPr>
                <w:sz w:val="21"/>
              </w:rPr>
              <w:t>）</w:t>
            </w:r>
            <w:r>
              <w:rPr>
                <w:sz w:val="21"/>
              </w:rPr>
              <w:t>说明</w:t>
            </w:r>
            <w:r>
              <w:rPr>
                <w:sz w:val="21"/>
              </w:rPr>
              <w:t>：</w:t>
            </w:r>
            <w:r>
              <w:rPr>
                <w:sz w:val="21"/>
              </w:rPr>
              <w:t>本办法中所述基准审核费用配比仅为分配参考指标，采购人不确保中标人最终的审核费用比例与该配比完全一致。</w:t>
            </w:r>
          </w:p>
          <w:p>
            <w:pPr>
              <w:pStyle w:val="null3"/>
              <w:jc w:val="both"/>
            </w:pPr>
            <w:r>
              <w:rPr>
                <w:sz w:val="21"/>
              </w:rPr>
              <w:t>（</w:t>
            </w:r>
            <w:r>
              <w:rPr>
                <w:sz w:val="21"/>
              </w:rPr>
              <w:t>四</w:t>
            </w:r>
            <w:r>
              <w:rPr>
                <w:sz w:val="21"/>
              </w:rPr>
              <w:t>）</w:t>
            </w:r>
            <w:r>
              <w:rPr>
                <w:sz w:val="21"/>
              </w:rPr>
              <w:t>调整基准审核费用配比的情况：</w:t>
            </w:r>
          </w:p>
          <w:p>
            <w:pPr>
              <w:pStyle w:val="null3"/>
              <w:jc w:val="both"/>
            </w:pPr>
            <w:r>
              <w:rPr>
                <w:sz w:val="21"/>
              </w:rPr>
              <w:t>1</w:t>
            </w:r>
            <w:r>
              <w:rPr>
                <w:sz w:val="21"/>
              </w:rPr>
              <w:t>、</w:t>
            </w:r>
            <w:r>
              <w:rPr>
                <w:sz w:val="21"/>
              </w:rPr>
              <w:t>项目分配时，配比差负值最大的中标人符合回避原则的，项目委托任务改由配比差负值次高的中标人实施，各中标人的基准审核费用配比保持不变。</w:t>
            </w:r>
          </w:p>
          <w:p>
            <w:pPr>
              <w:pStyle w:val="null3"/>
              <w:jc w:val="both"/>
            </w:pPr>
            <w:r>
              <w:rPr>
                <w:sz w:val="21"/>
              </w:rPr>
              <w:t>2</w:t>
            </w:r>
            <w:r>
              <w:rPr>
                <w:sz w:val="21"/>
              </w:rPr>
              <w:t>、</w:t>
            </w:r>
            <w:r>
              <w:rPr>
                <w:sz w:val="21"/>
              </w:rPr>
              <w:t>中标人非应回避的原因拒绝接受分配的，视同放弃本轮次项目委托资格，项目委托任务改由配比差负值次高的中标人实施。放弃项目委托资格累计</w:t>
            </w:r>
            <w:r>
              <w:rPr>
                <w:sz w:val="21"/>
              </w:rPr>
              <w:t>1次的中标人，自放弃委托之后的基准审核费用配比降低5%，降低的配比份额平均分配给另两个中标人。</w:t>
            </w:r>
          </w:p>
          <w:p>
            <w:pPr>
              <w:pStyle w:val="null3"/>
              <w:jc w:val="both"/>
            </w:pPr>
            <w:r>
              <w:rPr>
                <w:sz w:val="21"/>
              </w:rPr>
              <w:t>3</w:t>
            </w:r>
            <w:r>
              <w:rPr>
                <w:sz w:val="21"/>
              </w:rPr>
              <w:t>、</w:t>
            </w:r>
            <w:r>
              <w:rPr>
                <w:sz w:val="21"/>
              </w:rPr>
              <w:t>中标人无法按时按质完成委托任务的，视同放弃本轮次项目委托资格，基准审核费用配比调整参考第</w:t>
            </w:r>
            <w:r>
              <w:rPr>
                <w:sz w:val="21"/>
              </w:rPr>
              <w:t>2条。</w:t>
            </w:r>
          </w:p>
          <w:p>
            <w:pPr>
              <w:pStyle w:val="null3"/>
              <w:jc w:val="both"/>
            </w:pPr>
            <w:r>
              <w:rPr>
                <w:sz w:val="21"/>
              </w:rPr>
              <w:t>（五）</w:t>
            </w:r>
            <w:r>
              <w:rPr>
                <w:sz w:val="21"/>
              </w:rPr>
              <w:t>回避规则：接受项目委托的中标人与委托项目有利害关系的（包括但不限于结算评审单位参与该项目施工图预算阶段造价的编制或中标人与该项目相关实施单位有利害关系等），必须主动申请回避。</w:t>
            </w:r>
            <w:r>
              <w:br/>
            </w:r>
            <w:r>
              <w:rPr>
                <w:sz w:val="21"/>
              </w:rPr>
              <w:t>（</w:t>
            </w:r>
            <w:r>
              <w:rPr>
                <w:sz w:val="21"/>
              </w:rPr>
              <w:t>六</w:t>
            </w:r>
            <w:r>
              <w:rPr>
                <w:sz w:val="21"/>
              </w:rPr>
              <w:t>）服务期内采购人根据实际情况可调整分配方式，具体分配方式以采购人签订合同时提供为准。</w:t>
            </w:r>
            <w:r>
              <w:rPr>
                <w:sz w:val="21"/>
              </w:rPr>
              <w:t>中标人</w:t>
            </w:r>
            <w:r>
              <w:rPr>
                <w:sz w:val="21"/>
              </w:rPr>
              <w:t>应</w:t>
            </w:r>
            <w:r>
              <w:rPr>
                <w:sz w:val="21"/>
              </w:rPr>
              <w:t>无条件接受。</w:t>
            </w:r>
          </w:p>
        </w:tc>
      </w:tr>
      <w:tr>
        <w:tc>
          <w:tcPr>
            <w:tcW w:type="dxa" w:w="2076"/>
          </w:tcPr>
          <w:p/>
        </w:tc>
        <w:tc>
          <w:tcPr>
            <w:tcW w:type="dxa" w:w="415"/>
          </w:tcPr>
          <w:p>
            <w:pPr>
              <w:pStyle w:val="null3"/>
            </w:pPr>
            <w:r>
              <w:rPr/>
              <w:t>4</w:t>
            </w:r>
          </w:p>
        </w:tc>
        <w:tc>
          <w:tcPr>
            <w:tcW w:type="dxa" w:w="5814"/>
          </w:tcPr>
          <w:p>
            <w:pPr>
              <w:pStyle w:val="null3"/>
              <w:jc w:val="both"/>
            </w:pPr>
            <w:r>
              <w:rPr>
                <w:sz w:val="21"/>
                <w:b/>
              </w:rPr>
              <w:t>项目实施人员要求</w:t>
            </w:r>
          </w:p>
          <w:p>
            <w:pPr>
              <w:pStyle w:val="null3"/>
              <w:jc w:val="both"/>
            </w:pPr>
            <w:r>
              <w:rPr>
                <w:sz w:val="21"/>
              </w:rPr>
              <w:t>（一）投标人应具备足够的人力、物力等资源，保证按时按质按量完成委托的评审业务，且对基建工程评审的各个专业领域都比较熟悉。</w:t>
            </w:r>
          </w:p>
          <w:p>
            <w:pPr>
              <w:pStyle w:val="null3"/>
              <w:jc w:val="both"/>
            </w:pPr>
            <w:r>
              <w:rPr>
                <w:sz w:val="21"/>
              </w:rPr>
              <w:t>（二）投标人应具有一般土建、市政、装饰、安装、园林绿化工程以及水利等专业工程的审核能力和经验，并具备相关专业的工程师和专家。</w:t>
            </w:r>
          </w:p>
          <w:p>
            <w:pPr>
              <w:pStyle w:val="null3"/>
              <w:jc w:val="both"/>
            </w:pPr>
            <w:r>
              <w:rPr>
                <w:sz w:val="21"/>
              </w:rPr>
              <w:t>（三）拟派评审人员名单由公司负责人、管理人员、审核人员（相关专业专家）组成，其中拟派的管理人员应具备丰富的工程审核管理经验，拟派的评审人员应具备较强的工程审核能力和财政评审经验，其中具有注册造价工程师的人员人数在</w:t>
            </w:r>
            <w:r>
              <w:rPr>
                <w:sz w:val="21"/>
              </w:rPr>
              <w:t>2</w:t>
            </w:r>
            <w:r>
              <w:rPr>
                <w:sz w:val="21"/>
              </w:rPr>
              <w:t>人或以上（至少要含</w:t>
            </w:r>
            <w:r>
              <w:rPr>
                <w:sz w:val="21"/>
              </w:rPr>
              <w:t>1</w:t>
            </w:r>
            <w:r>
              <w:rPr>
                <w:sz w:val="21"/>
              </w:rPr>
              <w:t>名高级工程师）。</w:t>
            </w:r>
          </w:p>
          <w:p>
            <w:pPr>
              <w:pStyle w:val="null3"/>
              <w:jc w:val="both"/>
            </w:pPr>
            <w:r>
              <w:rPr>
                <w:sz w:val="21"/>
              </w:rPr>
              <w:t>（四）投标人应在投标文件中对拟选派的评审人员进行承诺，并列明拟派评审人员的详细情况，内容包括：评审人员姓名、年龄、专业、执业（专业）资格证号、职称。拟派评审从业人员应覆盖建筑、安装、装饰、园林绿化、市政、电力（电气）、公路（路桥）、水利等专业，具体人数由投标单位根据采购人的要求和投标单位的自身情况决定。中标人必须按照投标文件承诺选派人员，如需变更的，须报经采购人同意。</w:t>
            </w:r>
          </w:p>
          <w:p>
            <w:pPr>
              <w:pStyle w:val="null3"/>
              <w:jc w:val="both"/>
            </w:pPr>
            <w:r>
              <w:rPr>
                <w:sz w:val="21"/>
              </w:rPr>
              <w:t>（五）在工程评审过程中，采购人若发现中标人工作人员存在职业道德、工作态度和能力等问题不能胜任评审工作要求的，采购人保留更换相关人员、减少委托任务和更换中标人的权利。</w:t>
            </w:r>
          </w:p>
          <w:p>
            <w:pPr>
              <w:pStyle w:val="null3"/>
              <w:jc w:val="both"/>
            </w:pPr>
            <w:r>
              <w:rPr>
                <w:sz w:val="21"/>
              </w:rPr>
              <w:t>（六）拟派评审人员需在其执业资格内执业。</w:t>
            </w:r>
          </w:p>
        </w:tc>
      </w:tr>
      <w:tr>
        <w:tc>
          <w:tcPr>
            <w:tcW w:type="dxa" w:w="2076"/>
          </w:tcPr>
          <w:p/>
        </w:tc>
        <w:tc>
          <w:tcPr>
            <w:tcW w:type="dxa" w:w="415"/>
          </w:tcPr>
          <w:p>
            <w:pPr>
              <w:pStyle w:val="null3"/>
            </w:pPr>
            <w:r>
              <w:rPr/>
              <w:t>5</w:t>
            </w:r>
          </w:p>
        </w:tc>
        <w:tc>
          <w:tcPr>
            <w:tcW w:type="dxa" w:w="5814"/>
          </w:tcPr>
          <w:p>
            <w:pPr>
              <w:pStyle w:val="null3"/>
              <w:jc w:val="both"/>
            </w:pPr>
            <w:r>
              <w:rPr>
                <w:sz w:val="21"/>
                <w:b/>
              </w:rPr>
              <w:t>具体服务要求</w:t>
            </w:r>
          </w:p>
          <w:p>
            <w:pPr>
              <w:pStyle w:val="null3"/>
              <w:jc w:val="both"/>
            </w:pPr>
            <w:r>
              <w:rPr>
                <w:sz w:val="21"/>
              </w:rPr>
              <w:t>（一）投标人需针对本次招标而制定服务计划及承诺。</w:t>
            </w:r>
          </w:p>
          <w:p>
            <w:pPr>
              <w:pStyle w:val="null3"/>
              <w:jc w:val="both"/>
            </w:pPr>
            <w:r>
              <w:rPr>
                <w:sz w:val="21"/>
              </w:rPr>
              <w:t>（二）投标人有健全的组织机构和内部管理制度，有完善的质量保证体系和技术经济档案管理制度，有良好的服务态度和较好的社会信誉。</w:t>
            </w:r>
          </w:p>
          <w:p>
            <w:pPr>
              <w:pStyle w:val="null3"/>
              <w:jc w:val="both"/>
            </w:pPr>
            <w:r>
              <w:rPr>
                <w:sz w:val="21"/>
              </w:rPr>
              <w:t>（三）投标人有保证业务需要的交通工具、现代办公设备和符合顺德当地造价管理部门要求的造价评审管理软件。</w:t>
            </w:r>
          </w:p>
          <w:p>
            <w:pPr>
              <w:pStyle w:val="null3"/>
              <w:jc w:val="both"/>
            </w:pPr>
            <w:r>
              <w:rPr>
                <w:sz w:val="21"/>
              </w:rPr>
              <w:t>（四）中标人应根据国家和省、市有关工程造价的法规、政策、文件，以及基建财务管理的有关规定，本着为政府节约投资的原则，科学、客观、公正地开展评审工作，按采购人的要求，按时按质按量提供评审报告，并对评审结论的真实性、准确性、完整性和合法性负责。对复审和抽查发现有重大质量问题或较大幅度漏审的，以及因项目评审结论不实，引起诉讼和纠纷的，中标人须承担相关责任并接受采购人作出的通报批评、扣减评审费用、停止委托新的评审任务和解除委托合同等处罚。</w:t>
            </w:r>
          </w:p>
          <w:p>
            <w:pPr>
              <w:pStyle w:val="null3"/>
              <w:jc w:val="both"/>
            </w:pPr>
            <w:r>
              <w:rPr>
                <w:sz w:val="21"/>
              </w:rPr>
              <w:t>（五）中标人必须独立完成采购人委托的评审任务，不得将评审业务转让给第三方完成，并能按采购人的要求定期做好已完成项目的相关资料的移交和归档工作。</w:t>
            </w:r>
          </w:p>
          <w:p>
            <w:pPr>
              <w:pStyle w:val="null3"/>
              <w:jc w:val="both"/>
            </w:pPr>
            <w:r>
              <w:rPr>
                <w:sz w:val="21"/>
              </w:rPr>
              <w:t>（六）中标人需向采购人提供常设全天候</w:t>
            </w:r>
            <w:r>
              <w:rPr>
                <w:sz w:val="21"/>
              </w:rPr>
              <w:t>24</w:t>
            </w:r>
            <w:r>
              <w:rPr>
                <w:sz w:val="21"/>
              </w:rPr>
              <w:t>小时服务热线和长期的免费技术支持。</w:t>
            </w:r>
          </w:p>
          <w:p>
            <w:pPr>
              <w:pStyle w:val="null3"/>
              <w:jc w:val="both"/>
            </w:pPr>
            <w:r>
              <w:rPr>
                <w:sz w:val="21"/>
              </w:rPr>
              <w:t>（七）采购人要求中标人接收送审资料的，中标人应当收到通知后</w:t>
            </w:r>
            <w:r>
              <w:rPr>
                <w:sz w:val="21"/>
              </w:rPr>
              <w:t>24</w:t>
            </w:r>
            <w:r>
              <w:rPr>
                <w:sz w:val="21"/>
              </w:rPr>
              <w:t>小时内到采购人指定地点签收相关资料。</w:t>
            </w:r>
          </w:p>
          <w:p>
            <w:pPr>
              <w:pStyle w:val="null3"/>
              <w:jc w:val="both"/>
            </w:pPr>
            <w:r>
              <w:rPr>
                <w:sz w:val="21"/>
              </w:rPr>
              <w:t>（八）定期配合采购人做好业务负责人和技术负责人的定期培训和例会工作。</w:t>
            </w:r>
          </w:p>
          <w:p>
            <w:pPr>
              <w:pStyle w:val="null3"/>
              <w:jc w:val="both"/>
            </w:pPr>
            <w:r>
              <w:rPr>
                <w:sz w:val="21"/>
              </w:rPr>
              <w:t>（九）非经采购人同意，不得就委托业务直接与建设、施工等单位联系。在征得采购人同意后，才能向建设单位索取资料。所取得的资料必须经过采购人确认，才能作为工程评审的依据。</w:t>
            </w:r>
          </w:p>
          <w:p>
            <w:pPr>
              <w:pStyle w:val="null3"/>
              <w:jc w:val="both"/>
            </w:pPr>
            <w:r>
              <w:rPr>
                <w:sz w:val="21"/>
              </w:rPr>
              <w:t>（十）投标人需为本项目制定应急预案（包括但不限于临时增加任务需求、任务加急处理工作安排等）。</w:t>
            </w:r>
          </w:p>
        </w:tc>
      </w:tr>
      <w:tr>
        <w:tc>
          <w:tcPr>
            <w:tcW w:type="dxa" w:w="2076"/>
          </w:tcPr>
          <w:p/>
        </w:tc>
        <w:tc>
          <w:tcPr>
            <w:tcW w:type="dxa" w:w="415"/>
          </w:tcPr>
          <w:p>
            <w:pPr>
              <w:pStyle w:val="null3"/>
            </w:pPr>
            <w:r>
              <w:rPr/>
              <w:t>6</w:t>
            </w:r>
          </w:p>
        </w:tc>
        <w:tc>
          <w:tcPr>
            <w:tcW w:type="dxa" w:w="5814"/>
          </w:tcPr>
          <w:p>
            <w:pPr>
              <w:pStyle w:val="null3"/>
              <w:jc w:val="left"/>
            </w:pPr>
            <w:r>
              <w:rPr>
                <w:sz w:val="21"/>
                <w:b/>
              </w:rPr>
              <w:t>委托项目完成时间要求</w:t>
            </w:r>
          </w:p>
          <w:p>
            <w:pPr>
              <w:pStyle w:val="null3"/>
              <w:ind w:firstLine="420"/>
              <w:jc w:val="left"/>
            </w:pPr>
            <w:r>
              <w:rPr>
                <w:sz w:val="21"/>
              </w:rPr>
              <w:t>审价时限一般参照以下的标准执行，其中审价时限分第一阶段完成时限和第二阶段完成时限两种情况。第一阶段完成时限是指中标人接受委托之日开始计算，到提交完整的评审初稿时间；第二阶段完成时限是指组织对数完成，项目评审资料完善之日开始计算，到提交正式完整的评审定案稿时间：</w:t>
            </w:r>
          </w:p>
          <w:tbl>
            <w:tblPr>
              <w:tblInd w:type="dxa" w:w="120"/>
              <w:tblBorders>
                <w:top w:val="none" w:color="000000" w:sz="4"/>
                <w:left w:val="none" w:color="000000" w:sz="4"/>
                <w:bottom w:val="none" w:color="000000" w:sz="4"/>
                <w:right w:val="none" w:color="000000" w:sz="4"/>
                <w:insideH w:val="none"/>
                <w:insideV w:val="none"/>
              </w:tblBorders>
            </w:tblPr>
            <w:tblGrid>
              <w:gridCol w:w="1324"/>
              <w:gridCol w:w="2663"/>
              <w:gridCol w:w="1610"/>
            </w:tblGrid>
            <w:tr>
              <w:tc>
                <w:tcPr>
                  <w:tcW w:type="dxa" w:w="13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服务类别</w:t>
                  </w:r>
                </w:p>
              </w:tc>
              <w:tc>
                <w:tcPr>
                  <w:tcW w:type="dxa" w:w="26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送审金额</w:t>
                  </w:r>
                </w:p>
              </w:tc>
              <w:tc>
                <w:tcPr>
                  <w:tcW w:type="dxa" w:w="16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完成时限</w:t>
                  </w:r>
                </w:p>
              </w:tc>
            </w:tr>
            <w:tr>
              <w:tc>
                <w:tcPr>
                  <w:tcW w:type="dxa" w:w="13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估算、概算、预算</w:t>
                  </w:r>
                </w:p>
              </w:tc>
              <w:tc>
                <w:tcPr>
                  <w:tcW w:type="dxa" w:w="2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100</w:t>
                  </w:r>
                  <w:r>
                    <w:rPr>
                      <w:sz w:val="21"/>
                    </w:rPr>
                    <w:t>万元至</w:t>
                  </w:r>
                  <w:r>
                    <w:rPr>
                      <w:sz w:val="21"/>
                    </w:rPr>
                    <w:t>400</w:t>
                  </w:r>
                  <w:r>
                    <w:rPr>
                      <w:sz w:val="21"/>
                    </w:rPr>
                    <w:t>万元</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r>
                    <w:rPr>
                      <w:sz w:val="21"/>
                    </w:rPr>
                    <w:t>个日历日</w:t>
                  </w:r>
                </w:p>
              </w:tc>
            </w:tr>
            <w:tr>
              <w:tc>
                <w:tcPr>
                  <w:tcW w:type="dxa" w:w="1324"/>
                  <w:vMerge/>
                  <w:tcBorders>
                    <w:top w:val="none" w:color="000000" w:sz="4"/>
                    <w:left w:val="single" w:color="000000" w:sz="4"/>
                    <w:bottom w:val="single" w:color="000000" w:sz="4"/>
                    <w:right w:val="single" w:color="000000" w:sz="4"/>
                  </w:tcBorders>
                </w:tcPr>
                <w:p/>
              </w:tc>
              <w:tc>
                <w:tcPr>
                  <w:tcW w:type="dxa" w:w="2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400</w:t>
                  </w:r>
                  <w:r>
                    <w:rPr>
                      <w:sz w:val="21"/>
                    </w:rPr>
                    <w:t>万元至</w:t>
                  </w:r>
                  <w:r>
                    <w:rPr>
                      <w:sz w:val="21"/>
                    </w:rPr>
                    <w:t>1000</w:t>
                  </w:r>
                  <w:r>
                    <w:rPr>
                      <w:sz w:val="21"/>
                    </w:rPr>
                    <w:t>万元</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r>
                    <w:rPr>
                      <w:sz w:val="21"/>
                    </w:rPr>
                    <w:t>个日历日</w:t>
                  </w:r>
                </w:p>
              </w:tc>
            </w:tr>
            <w:tr>
              <w:tc>
                <w:tcPr>
                  <w:tcW w:type="dxa" w:w="1324"/>
                  <w:vMerge/>
                  <w:tcBorders>
                    <w:top w:val="none" w:color="000000" w:sz="4"/>
                    <w:left w:val="single" w:color="000000" w:sz="4"/>
                    <w:bottom w:val="single" w:color="000000" w:sz="4"/>
                    <w:right w:val="single" w:color="000000" w:sz="4"/>
                  </w:tcBorders>
                </w:tcPr>
                <w:p/>
              </w:tc>
              <w:tc>
                <w:tcPr>
                  <w:tcW w:type="dxa" w:w="2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1000</w:t>
                  </w:r>
                  <w:r>
                    <w:rPr>
                      <w:sz w:val="21"/>
                    </w:rPr>
                    <w:t>万元至</w:t>
                  </w:r>
                  <w:r>
                    <w:rPr>
                      <w:sz w:val="21"/>
                    </w:rPr>
                    <w:t>5000</w:t>
                  </w:r>
                  <w:r>
                    <w:rPr>
                      <w:sz w:val="21"/>
                    </w:rPr>
                    <w:t>万元</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15</w:t>
                  </w:r>
                  <w:r>
                    <w:rPr>
                      <w:sz w:val="21"/>
                    </w:rPr>
                    <w:t>个日历日</w:t>
                  </w:r>
                </w:p>
              </w:tc>
            </w:tr>
            <w:tr>
              <w:tc>
                <w:tcPr>
                  <w:tcW w:type="dxa" w:w="1324"/>
                  <w:vMerge/>
                  <w:tcBorders>
                    <w:top w:val="none" w:color="000000" w:sz="4"/>
                    <w:left w:val="single" w:color="000000" w:sz="4"/>
                    <w:bottom w:val="single" w:color="000000" w:sz="4"/>
                    <w:right w:val="single" w:color="000000" w:sz="4"/>
                  </w:tcBorders>
                </w:tcPr>
                <w:p/>
              </w:tc>
              <w:tc>
                <w:tcPr>
                  <w:tcW w:type="dxa" w:w="2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5000</w:t>
                  </w:r>
                  <w:r>
                    <w:rPr>
                      <w:sz w:val="21"/>
                    </w:rPr>
                    <w:t>万元至</w:t>
                  </w:r>
                  <w:r>
                    <w:rPr>
                      <w:sz w:val="21"/>
                    </w:rPr>
                    <w:t>1</w:t>
                  </w:r>
                  <w:r>
                    <w:rPr>
                      <w:sz w:val="21"/>
                    </w:rPr>
                    <w:t>亿元以下</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w:t>
                  </w:r>
                  <w:r>
                    <w:rPr>
                      <w:sz w:val="21"/>
                    </w:rPr>
                    <w:t>个日历日</w:t>
                  </w:r>
                </w:p>
              </w:tc>
            </w:tr>
            <w:tr>
              <w:tc>
                <w:tcPr>
                  <w:tcW w:type="dxa" w:w="1324"/>
                  <w:vMerge/>
                  <w:tcBorders>
                    <w:top w:val="none" w:color="000000" w:sz="4"/>
                    <w:left w:val="single" w:color="000000" w:sz="4"/>
                    <w:bottom w:val="single" w:color="000000" w:sz="4"/>
                    <w:right w:val="single" w:color="000000" w:sz="4"/>
                  </w:tcBorders>
                </w:tcPr>
                <w:p/>
              </w:tc>
              <w:tc>
                <w:tcPr>
                  <w:tcW w:type="dxa" w:w="2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亿元以上</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35</w:t>
                  </w:r>
                  <w:r>
                    <w:rPr>
                      <w:sz w:val="21"/>
                    </w:rPr>
                    <w:t>个日历日</w:t>
                  </w:r>
                </w:p>
              </w:tc>
            </w:tr>
            <w:tr>
              <w:tc>
                <w:tcPr>
                  <w:tcW w:type="dxa" w:w="13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结算（变更）</w:t>
                  </w:r>
                </w:p>
              </w:tc>
              <w:tc>
                <w:tcPr>
                  <w:tcW w:type="dxa" w:w="2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100</w:t>
                  </w:r>
                  <w:r>
                    <w:rPr>
                      <w:sz w:val="21"/>
                    </w:rPr>
                    <w:t>万元以下</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r>
                    <w:rPr>
                      <w:sz w:val="21"/>
                    </w:rPr>
                    <w:t>个日历日</w:t>
                  </w:r>
                </w:p>
              </w:tc>
            </w:tr>
            <w:tr>
              <w:tc>
                <w:tcPr>
                  <w:tcW w:type="dxa" w:w="1324"/>
                  <w:vMerge/>
                  <w:tcBorders>
                    <w:top w:val="none" w:color="000000" w:sz="4"/>
                    <w:left w:val="single" w:color="000000" w:sz="4"/>
                    <w:bottom w:val="single" w:color="000000" w:sz="4"/>
                    <w:right w:val="single" w:color="000000" w:sz="4"/>
                  </w:tcBorders>
                </w:tcPr>
                <w:p/>
              </w:tc>
              <w:tc>
                <w:tcPr>
                  <w:tcW w:type="dxa" w:w="2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100</w:t>
                  </w:r>
                  <w:r>
                    <w:rPr>
                      <w:sz w:val="21"/>
                    </w:rPr>
                    <w:t>万元至</w:t>
                  </w:r>
                  <w:r>
                    <w:rPr>
                      <w:sz w:val="21"/>
                    </w:rPr>
                    <w:t>400</w:t>
                  </w:r>
                  <w:r>
                    <w:rPr>
                      <w:sz w:val="21"/>
                    </w:rPr>
                    <w:t>万元</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7</w:t>
                  </w:r>
                  <w:r>
                    <w:rPr>
                      <w:sz w:val="21"/>
                    </w:rPr>
                    <w:t>个日历日</w:t>
                  </w:r>
                </w:p>
              </w:tc>
            </w:tr>
            <w:tr>
              <w:tc>
                <w:tcPr>
                  <w:tcW w:type="dxa" w:w="1324"/>
                  <w:vMerge/>
                  <w:tcBorders>
                    <w:top w:val="none" w:color="000000" w:sz="4"/>
                    <w:left w:val="single" w:color="000000" w:sz="4"/>
                    <w:bottom w:val="single" w:color="000000" w:sz="4"/>
                    <w:right w:val="single" w:color="000000" w:sz="4"/>
                  </w:tcBorders>
                </w:tcPr>
                <w:p/>
              </w:tc>
              <w:tc>
                <w:tcPr>
                  <w:tcW w:type="dxa" w:w="2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400</w:t>
                  </w:r>
                  <w:r>
                    <w:rPr>
                      <w:sz w:val="21"/>
                    </w:rPr>
                    <w:t>万元至</w:t>
                  </w:r>
                  <w:r>
                    <w:rPr>
                      <w:sz w:val="21"/>
                    </w:rPr>
                    <w:t>1000</w:t>
                  </w:r>
                  <w:r>
                    <w:rPr>
                      <w:sz w:val="21"/>
                    </w:rPr>
                    <w:t>万元</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15</w:t>
                  </w:r>
                  <w:r>
                    <w:rPr>
                      <w:sz w:val="21"/>
                    </w:rPr>
                    <w:t>个日历日</w:t>
                  </w:r>
                </w:p>
              </w:tc>
            </w:tr>
            <w:tr>
              <w:tc>
                <w:tcPr>
                  <w:tcW w:type="dxa" w:w="1324"/>
                  <w:vMerge/>
                  <w:tcBorders>
                    <w:top w:val="none" w:color="000000" w:sz="4"/>
                    <w:left w:val="single" w:color="000000" w:sz="4"/>
                    <w:bottom w:val="single" w:color="000000" w:sz="4"/>
                    <w:right w:val="single" w:color="000000" w:sz="4"/>
                  </w:tcBorders>
                </w:tcPr>
                <w:p/>
              </w:tc>
              <w:tc>
                <w:tcPr>
                  <w:tcW w:type="dxa" w:w="2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1000</w:t>
                  </w:r>
                  <w:r>
                    <w:rPr>
                      <w:sz w:val="21"/>
                    </w:rPr>
                    <w:t>万元至</w:t>
                  </w:r>
                  <w:r>
                    <w:rPr>
                      <w:sz w:val="21"/>
                    </w:rPr>
                    <w:t>5000</w:t>
                  </w:r>
                  <w:r>
                    <w:rPr>
                      <w:sz w:val="21"/>
                    </w:rPr>
                    <w:t>万元</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w:t>
                  </w:r>
                  <w:r>
                    <w:rPr>
                      <w:sz w:val="21"/>
                    </w:rPr>
                    <w:t>个日历日</w:t>
                  </w:r>
                </w:p>
              </w:tc>
            </w:tr>
            <w:tr>
              <w:tc>
                <w:tcPr>
                  <w:tcW w:type="dxa" w:w="1324"/>
                  <w:vMerge/>
                  <w:tcBorders>
                    <w:top w:val="none" w:color="000000" w:sz="4"/>
                    <w:left w:val="single" w:color="000000" w:sz="4"/>
                    <w:bottom w:val="single" w:color="000000" w:sz="4"/>
                    <w:right w:val="single" w:color="000000" w:sz="4"/>
                  </w:tcBorders>
                </w:tcPr>
                <w:p/>
              </w:tc>
              <w:tc>
                <w:tcPr>
                  <w:tcW w:type="dxa" w:w="2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5000</w:t>
                  </w:r>
                  <w:r>
                    <w:rPr>
                      <w:sz w:val="21"/>
                    </w:rPr>
                    <w:t>万元至</w:t>
                  </w:r>
                  <w:r>
                    <w:rPr>
                      <w:sz w:val="21"/>
                    </w:rPr>
                    <w:t>1</w:t>
                  </w:r>
                  <w:r>
                    <w:rPr>
                      <w:sz w:val="21"/>
                    </w:rPr>
                    <w:t>亿元以下</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25</w:t>
                  </w:r>
                  <w:r>
                    <w:rPr>
                      <w:sz w:val="21"/>
                    </w:rPr>
                    <w:t>个日历日</w:t>
                  </w:r>
                </w:p>
              </w:tc>
            </w:tr>
            <w:tr>
              <w:tc>
                <w:tcPr>
                  <w:tcW w:type="dxa" w:w="1324"/>
                  <w:vMerge/>
                  <w:tcBorders>
                    <w:top w:val="none" w:color="000000" w:sz="4"/>
                    <w:left w:val="single" w:color="000000" w:sz="4"/>
                    <w:bottom w:val="single" w:color="000000" w:sz="4"/>
                    <w:right w:val="single" w:color="000000" w:sz="4"/>
                  </w:tcBorders>
                </w:tcPr>
                <w:p/>
              </w:tc>
              <w:tc>
                <w:tcPr>
                  <w:tcW w:type="dxa" w:w="2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亿元以上</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50</w:t>
                  </w:r>
                  <w:r>
                    <w:rPr>
                      <w:sz w:val="21"/>
                    </w:rPr>
                    <w:t>个日历日</w:t>
                  </w:r>
                </w:p>
              </w:tc>
            </w:tr>
            <w:tr>
              <w:tc>
                <w:tcPr>
                  <w:tcW w:type="dxa" w:w="559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备注：下限包含本数，上限不包含本数。</w:t>
                  </w:r>
                </w:p>
              </w:tc>
            </w:tr>
          </w:tbl>
          <w:p>
            <w:pPr>
              <w:pStyle w:val="null3"/>
              <w:jc w:val="both"/>
            </w:pPr>
            <w:r>
              <w:rPr>
                <w:sz w:val="21"/>
              </w:rPr>
              <w:t>以上为完成时限的一般标准。具体每项工程的完成时间，除特殊紧急情况外，以委托协议书规定的完成时限为准。</w:t>
            </w:r>
          </w:p>
        </w:tc>
      </w:tr>
      <w:tr>
        <w:tc>
          <w:tcPr>
            <w:tcW w:type="dxa" w:w="2076"/>
          </w:tcPr>
          <w:p>
            <w:pPr>
              <w:pStyle w:val="null3"/>
            </w:pPr>
            <w:r>
              <w:rPr/>
              <w:t>★</w:t>
            </w:r>
          </w:p>
        </w:tc>
        <w:tc>
          <w:tcPr>
            <w:tcW w:type="dxa" w:w="415"/>
          </w:tcPr>
          <w:p>
            <w:pPr>
              <w:pStyle w:val="null3"/>
            </w:pPr>
            <w:r>
              <w:rPr/>
              <w:t>7</w:t>
            </w:r>
          </w:p>
        </w:tc>
        <w:tc>
          <w:tcPr>
            <w:tcW w:type="dxa" w:w="5814"/>
          </w:tcPr>
          <w:p>
            <w:pPr>
              <w:pStyle w:val="null3"/>
              <w:jc w:val="both"/>
            </w:pPr>
            <w:r>
              <w:rPr>
                <w:sz w:val="21"/>
                <w:b/>
              </w:rPr>
              <w:t>服务质量考核</w:t>
            </w:r>
          </w:p>
          <w:p>
            <w:pPr>
              <w:pStyle w:val="null3"/>
              <w:jc w:val="both"/>
            </w:pPr>
            <w:r>
              <w:rPr>
                <w:sz w:val="21"/>
              </w:rPr>
              <w:t>（一）采购人对中标人参与的每一个评审项目的审核质量、服务质量情况等进行考核评分（考核标准详见《服务质量评价表》），评价总分</w:t>
            </w:r>
            <w:r>
              <w:rPr>
                <w:sz w:val="21"/>
              </w:rPr>
              <w:t>70</w:t>
            </w:r>
            <w:r>
              <w:rPr>
                <w:sz w:val="21"/>
              </w:rPr>
              <w:t>分以上为合格。如中标人一年累计两个评审项目评价总分低于</w:t>
            </w:r>
            <w:r>
              <w:rPr>
                <w:sz w:val="21"/>
              </w:rPr>
              <w:t>70</w:t>
            </w:r>
            <w:r>
              <w:rPr>
                <w:sz w:val="21"/>
              </w:rPr>
              <w:t>分，采购人有权单方中止服务合同。</w:t>
            </w:r>
          </w:p>
          <w:p>
            <w:pPr>
              <w:pStyle w:val="null3"/>
              <w:jc w:val="both"/>
            </w:pPr>
            <w:r>
              <w:rPr>
                <w:sz w:val="21"/>
              </w:rPr>
              <w:t>（二）每个评审项目的考核工作在项目评审完成并出具评审报告时随即进行，考核结果由该项目的中标人盖章确认。中标人对考核结果有疑义的，可以自收到考核结果之日</w:t>
            </w:r>
            <w:r>
              <w:rPr>
                <w:sz w:val="21"/>
              </w:rPr>
              <w:t>3</w:t>
            </w:r>
            <w:r>
              <w:rPr>
                <w:sz w:val="21"/>
              </w:rPr>
              <w:t>个工作日内，向采购人提出书面申诉。若被考核项目的中标人在接到考核结果后</w:t>
            </w:r>
            <w:r>
              <w:rPr>
                <w:sz w:val="21"/>
              </w:rPr>
              <w:t>3</w:t>
            </w:r>
            <w:r>
              <w:rPr>
                <w:sz w:val="21"/>
              </w:rPr>
              <w:t>个工作日内未提出意见或盖章的，则视为同意考核结果；若中标人对考核结果有不同意见的，应与采购人核对，核对三次仍无法统一意见的，以最后一次核对结果作为最终考核结论。</w:t>
            </w:r>
          </w:p>
          <w:tbl>
            <w:tblPr>
              <w:tblInd w:type="dxa" w:w="105"/>
              <w:tblBorders>
                <w:top w:val="none" w:color="000000" w:sz="4"/>
                <w:left w:val="none" w:color="000000" w:sz="4"/>
                <w:bottom w:val="none" w:color="000000" w:sz="4"/>
                <w:right w:val="none" w:color="000000" w:sz="4"/>
                <w:insideH w:val="none"/>
                <w:insideV w:val="none"/>
              </w:tblBorders>
            </w:tblPr>
            <w:tblGrid>
              <w:gridCol w:w="930"/>
              <w:gridCol w:w="1486"/>
              <w:gridCol w:w="915"/>
              <w:gridCol w:w="885"/>
              <w:gridCol w:w="435"/>
              <w:gridCol w:w="435"/>
              <w:gridCol w:w="510"/>
            </w:tblGrid>
            <w:tr>
              <w:tc>
                <w:tcPr>
                  <w:tcW w:type="dxa" w:w="5596"/>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b/>
                      <w:color w:val="000000"/>
                    </w:rPr>
                    <w:t>服务质量评价表</w:t>
                  </w:r>
                </w:p>
              </w:tc>
            </w:tr>
            <w:tr>
              <w:tc>
                <w:tcPr>
                  <w:tcW w:type="dxa" w:w="9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项目名称</w:t>
                  </w:r>
                </w:p>
              </w:tc>
              <w:tc>
                <w:tcPr>
                  <w:tcW w:type="dxa" w:w="4666"/>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受评单位</w:t>
                  </w:r>
                </w:p>
              </w:tc>
              <w:tc>
                <w:tcPr>
                  <w:tcW w:type="dxa" w:w="14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服务内容</w:t>
                  </w:r>
                </w:p>
              </w:tc>
              <w:tc>
                <w:tcPr>
                  <w:tcW w:type="dxa" w:w="2265"/>
                  <w:gridSpan w:val="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color w:val="000000"/>
                    </w:rPr>
                    <w:t>口审核工程量清单</w:t>
                  </w:r>
                </w:p>
              </w:tc>
            </w:tr>
            <w:tr>
              <w:tc>
                <w:tcPr>
                  <w:tcW w:type="dxa" w:w="930"/>
                  <w:vMerge/>
                  <w:tcBorders>
                    <w:top w:val="none" w:color="000000" w:sz="4"/>
                    <w:left w:val="single" w:color="000000" w:sz="4"/>
                    <w:bottom w:val="single" w:color="000000" w:sz="4"/>
                    <w:right w:val="single" w:color="000000" w:sz="4"/>
                  </w:tcBorders>
                </w:tcPr>
                <w:p/>
              </w:tc>
              <w:tc>
                <w:tcPr>
                  <w:tcW w:type="dxa" w:w="1486"/>
                  <w:vMerge/>
                  <w:tcBorders>
                    <w:top w:val="none" w:color="000000" w:sz="4"/>
                    <w:left w:val="none" w:color="000000" w:sz="4"/>
                    <w:bottom w:val="single" w:color="000000" w:sz="4"/>
                    <w:right w:val="single" w:color="000000" w:sz="4"/>
                  </w:tcBorders>
                </w:tcPr>
                <w:p/>
              </w:tc>
              <w:tc>
                <w:tcPr>
                  <w:tcW w:type="dxa" w:w="915"/>
                  <w:vMerge/>
                  <w:tcBorders>
                    <w:top w:val="single" w:color="000000" w:sz="4"/>
                    <w:left w:val="none" w:color="000000" w:sz="4"/>
                    <w:bottom w:val="single" w:color="000000" w:sz="4"/>
                    <w:right w:val="single" w:color="000000" w:sz="4"/>
                  </w:tcBorders>
                </w:tcPr>
                <w:p/>
              </w:tc>
              <w:tc>
                <w:tcPr>
                  <w:tcW w:type="dxa" w:w="2265"/>
                  <w:gridSpan w:val="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color w:val="000000"/>
                    </w:rPr>
                    <w:t>口审核招标控制价（标底、预算价）</w:t>
                  </w:r>
                </w:p>
              </w:tc>
            </w:tr>
            <w:tr>
              <w:tc>
                <w:tcPr>
                  <w:tcW w:type="dxa" w:w="930"/>
                  <w:vMerge/>
                  <w:tcBorders>
                    <w:top w:val="none" w:color="000000" w:sz="4"/>
                    <w:left w:val="single" w:color="000000" w:sz="4"/>
                    <w:bottom w:val="single" w:color="000000" w:sz="4"/>
                    <w:right w:val="single" w:color="000000" w:sz="4"/>
                  </w:tcBorders>
                </w:tcPr>
                <w:p/>
              </w:tc>
              <w:tc>
                <w:tcPr>
                  <w:tcW w:type="dxa" w:w="1486"/>
                  <w:vMerge/>
                  <w:tcBorders>
                    <w:top w:val="none" w:color="000000" w:sz="4"/>
                    <w:left w:val="none" w:color="000000" w:sz="4"/>
                    <w:bottom w:val="single" w:color="000000" w:sz="4"/>
                    <w:right w:val="single" w:color="000000" w:sz="4"/>
                  </w:tcBorders>
                </w:tcPr>
                <w:p/>
              </w:tc>
              <w:tc>
                <w:tcPr>
                  <w:tcW w:type="dxa" w:w="915"/>
                  <w:vMerge/>
                  <w:tcBorders>
                    <w:top w:val="single" w:color="000000" w:sz="4"/>
                    <w:left w:val="none" w:color="000000" w:sz="4"/>
                    <w:bottom w:val="single" w:color="000000" w:sz="4"/>
                    <w:right w:val="single" w:color="000000" w:sz="4"/>
                  </w:tcBorders>
                </w:tcPr>
                <w:p/>
              </w:tc>
              <w:tc>
                <w:tcPr>
                  <w:tcW w:type="dxa" w:w="2265"/>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口审核结算</w:t>
                  </w:r>
                  <w:r>
                    <w:rPr>
                      <w:sz w:val="21"/>
                      <w:color w:val="000000"/>
                    </w:rPr>
                    <w:t xml:space="preserve">   </w:t>
                  </w:r>
                  <w:r>
                    <w:rPr>
                      <w:sz w:val="21"/>
                      <w:color w:val="000000"/>
                    </w:rPr>
                    <w:t>口其他业务</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评价人</w:t>
                  </w:r>
                </w:p>
              </w:tc>
              <w:tc>
                <w:tcPr>
                  <w:tcW w:type="dxa" w:w="24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电话</w:t>
                  </w:r>
                </w:p>
              </w:tc>
              <w:tc>
                <w:tcPr>
                  <w:tcW w:type="dxa" w:w="138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评价内容</w:t>
                  </w:r>
                </w:p>
              </w:tc>
              <w:tc>
                <w:tcPr>
                  <w:tcW w:type="dxa" w:w="138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评价及得分</w:t>
                  </w:r>
                </w:p>
              </w:tc>
            </w:tr>
            <w:tr>
              <w:tc>
                <w:tcPr>
                  <w:tcW w:type="dxa" w:w="9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（一）咨询合同履约情况</w:t>
                  </w:r>
                </w:p>
              </w:tc>
              <w:tc>
                <w:tcPr>
                  <w:tcW w:type="dxa" w:w="32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签有规范完整的咨询合同，合同双方的权利义务明确；按时、按质完成委托任务；在履约过程中，提出并实施了积极的、科学合理的措施，保证了咨询合同的有效实施。</w:t>
                  </w:r>
                </w:p>
              </w:tc>
              <w:tc>
                <w:tcPr>
                  <w:tcW w:type="dxa" w:w="87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优良</w:t>
                  </w:r>
                  <w:r>
                    <w:rPr>
                      <w:sz w:val="21"/>
                      <w:color w:val="000000"/>
                    </w:rPr>
                    <w:t>4-5分</w:t>
                  </w:r>
                </w:p>
              </w:tc>
              <w:tc>
                <w:tcPr>
                  <w:tcW w:type="dxa" w:w="5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30"/>
                  <w:vMerge/>
                  <w:tcBorders>
                    <w:top w:val="none" w:color="000000" w:sz="4"/>
                    <w:left w:val="single" w:color="000000" w:sz="4"/>
                    <w:bottom w:val="single" w:color="000000" w:sz="4"/>
                    <w:right w:val="single" w:color="000000" w:sz="4"/>
                  </w:tcBorders>
                </w:tcPr>
                <w:p/>
              </w:tc>
              <w:tc>
                <w:tcPr>
                  <w:tcW w:type="dxa" w:w="32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签有书面咨询合同；基本按合同要求完成委托任务。</w:t>
                  </w:r>
                </w:p>
              </w:tc>
              <w:tc>
                <w:tcPr>
                  <w:tcW w:type="dxa" w:w="8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w:t>
                  </w:r>
                  <w:r>
                    <w:rPr>
                      <w:sz w:val="21"/>
                      <w:color w:val="000000"/>
                    </w:rPr>
                    <w:t>3-4分</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30"/>
                  <w:vMerge/>
                  <w:tcBorders>
                    <w:top w:val="none" w:color="000000" w:sz="4"/>
                    <w:left w:val="single" w:color="000000" w:sz="4"/>
                    <w:bottom w:val="single" w:color="000000" w:sz="4"/>
                    <w:right w:val="single" w:color="000000" w:sz="4"/>
                  </w:tcBorders>
                </w:tcPr>
                <w:p/>
              </w:tc>
              <w:tc>
                <w:tcPr>
                  <w:tcW w:type="dxa" w:w="32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无书面委托合同；未能按合同或委托人要求完成咨询任务</w:t>
                  </w:r>
                </w:p>
              </w:tc>
              <w:tc>
                <w:tcPr>
                  <w:tcW w:type="dxa" w:w="8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差</w:t>
                  </w:r>
                  <w:r>
                    <w:rPr>
                      <w:sz w:val="21"/>
                      <w:color w:val="000000"/>
                    </w:rPr>
                    <w:t>0-3分</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（二）咨询成果文件质量</w:t>
                  </w:r>
                </w:p>
              </w:tc>
              <w:tc>
                <w:tcPr>
                  <w:tcW w:type="dxa" w:w="32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咨询成果文件的内容和深度满足使用者要求，且保证了相关工作的顺利实施。</w:t>
                  </w:r>
                </w:p>
              </w:tc>
              <w:tc>
                <w:tcPr>
                  <w:tcW w:type="dxa" w:w="8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优良</w:t>
                  </w:r>
                  <w:r>
                    <w:rPr>
                      <w:sz w:val="21"/>
                      <w:color w:val="000000"/>
                    </w:rPr>
                    <w:t>4-5分</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30"/>
                  <w:vMerge/>
                  <w:tcBorders>
                    <w:top w:val="none" w:color="000000" w:sz="4"/>
                    <w:left w:val="single" w:color="000000" w:sz="4"/>
                    <w:bottom w:val="single" w:color="000000" w:sz="4"/>
                    <w:right w:val="single" w:color="000000" w:sz="4"/>
                  </w:tcBorders>
                </w:tcPr>
                <w:p/>
              </w:tc>
              <w:tc>
                <w:tcPr>
                  <w:tcW w:type="dxa" w:w="32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咨询成果文件内容基本完整，深度基本符合要求：有少量错漏，但不影响相关工作的顺利实施。</w:t>
                  </w:r>
                </w:p>
              </w:tc>
              <w:tc>
                <w:tcPr>
                  <w:tcW w:type="dxa" w:w="8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w:t>
                  </w:r>
                  <w:r>
                    <w:rPr>
                      <w:sz w:val="21"/>
                      <w:color w:val="000000"/>
                    </w:rPr>
                    <w:t>3-4分</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30"/>
                  <w:vMerge/>
                  <w:tcBorders>
                    <w:top w:val="none" w:color="000000" w:sz="4"/>
                    <w:left w:val="single" w:color="000000" w:sz="4"/>
                    <w:bottom w:val="single" w:color="000000" w:sz="4"/>
                    <w:right w:val="single" w:color="000000" w:sz="4"/>
                  </w:tcBorders>
                </w:tcPr>
                <w:p/>
              </w:tc>
              <w:tc>
                <w:tcPr>
                  <w:tcW w:type="dxa" w:w="32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咨询成果内容不完整，深度未能满足委托人要求。</w:t>
                  </w:r>
                </w:p>
              </w:tc>
              <w:tc>
                <w:tcPr>
                  <w:tcW w:type="dxa" w:w="8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差</w:t>
                  </w:r>
                  <w:r>
                    <w:rPr>
                      <w:sz w:val="21"/>
                      <w:color w:val="000000"/>
                    </w:rPr>
                    <w:t>0-3分</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（三）管理能力与规范服务</w:t>
                  </w:r>
                </w:p>
              </w:tc>
              <w:tc>
                <w:tcPr>
                  <w:tcW w:type="dxa" w:w="32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咨询项目有完整的实施计划，且措施得力；设有专职项目负责人；全过程服务及时、耐心，态度端正。</w:t>
                  </w:r>
                </w:p>
              </w:tc>
              <w:tc>
                <w:tcPr>
                  <w:tcW w:type="dxa" w:w="8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优良</w:t>
                  </w:r>
                  <w:r>
                    <w:rPr>
                      <w:sz w:val="21"/>
                      <w:color w:val="000000"/>
                    </w:rPr>
                    <w:t>4-5分</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30"/>
                  <w:vMerge/>
                  <w:tcBorders>
                    <w:top w:val="none" w:color="000000" w:sz="4"/>
                    <w:left w:val="single" w:color="000000" w:sz="4"/>
                    <w:bottom w:val="single" w:color="000000" w:sz="4"/>
                    <w:right w:val="single" w:color="000000" w:sz="4"/>
                  </w:tcBorders>
                </w:tcPr>
                <w:p/>
              </w:tc>
              <w:tc>
                <w:tcPr>
                  <w:tcW w:type="dxa" w:w="32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咨询项目有相应的实施计划；设有专职项目负责人；提供全过程服务。</w:t>
                  </w:r>
                </w:p>
              </w:tc>
              <w:tc>
                <w:tcPr>
                  <w:tcW w:type="dxa" w:w="8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w:t>
                  </w:r>
                  <w:r>
                    <w:rPr>
                      <w:sz w:val="21"/>
                      <w:color w:val="000000"/>
                    </w:rPr>
                    <w:t>3-4分</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30"/>
                  <w:vMerge/>
                  <w:tcBorders>
                    <w:top w:val="none" w:color="000000" w:sz="4"/>
                    <w:left w:val="single" w:color="000000" w:sz="4"/>
                    <w:bottom w:val="single" w:color="000000" w:sz="4"/>
                    <w:right w:val="single" w:color="000000" w:sz="4"/>
                  </w:tcBorders>
                </w:tcPr>
                <w:p/>
              </w:tc>
              <w:tc>
                <w:tcPr>
                  <w:tcW w:type="dxa" w:w="32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咨询项目无实施计划；无全程服务或服务质量差。</w:t>
                  </w:r>
                </w:p>
              </w:tc>
              <w:tc>
                <w:tcPr>
                  <w:tcW w:type="dxa" w:w="8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差</w:t>
                  </w:r>
                  <w:r>
                    <w:rPr>
                      <w:sz w:val="21"/>
                      <w:color w:val="000000"/>
                    </w:rPr>
                    <w:t>0-3分</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3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（四）职业道德</w:t>
                  </w:r>
                </w:p>
              </w:tc>
              <w:tc>
                <w:tcPr>
                  <w:tcW w:type="dxa" w:w="32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严格遵守执业行为准则、职业道德准则；以质量、信誉参与市场竞争；坚持实事求是，为委托人的合法利益精心服务；严格保守执业中知悉的技术和商务秘密；同业互助，共同维护和促进本行业的职业道德和信誉。</w:t>
                  </w:r>
                </w:p>
              </w:tc>
              <w:tc>
                <w:tcPr>
                  <w:tcW w:type="dxa" w:w="8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优良</w:t>
                  </w:r>
                  <w:r>
                    <w:rPr>
                      <w:sz w:val="21"/>
                      <w:color w:val="000000"/>
                    </w:rPr>
                    <w:t>4-5分</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30"/>
                  <w:vMerge/>
                  <w:tcBorders>
                    <w:top w:val="none" w:color="000000" w:sz="4"/>
                    <w:left w:val="single" w:color="000000" w:sz="4"/>
                    <w:bottom w:val="none" w:color="000000" w:sz="4"/>
                    <w:right w:val="single" w:color="000000" w:sz="4"/>
                  </w:tcBorders>
                </w:tcPr>
                <w:p/>
              </w:tc>
              <w:tc>
                <w:tcPr>
                  <w:tcW w:type="dxa" w:w="32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遵守执业行为准则、职业道德准则：认真按为客户服务。</w:t>
                  </w:r>
                </w:p>
              </w:tc>
              <w:tc>
                <w:tcPr>
                  <w:tcW w:type="dxa" w:w="8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w:t>
                  </w:r>
                  <w:r>
                    <w:rPr>
                      <w:sz w:val="21"/>
                      <w:color w:val="000000"/>
                    </w:rPr>
                    <w:t>3-4分</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30"/>
                  <w:vMerge/>
                  <w:tcBorders>
                    <w:top w:val="none" w:color="000000" w:sz="4"/>
                    <w:left w:val="single" w:color="000000" w:sz="4"/>
                    <w:bottom w:val="none" w:color="000000" w:sz="4"/>
                    <w:right w:val="single" w:color="000000" w:sz="4"/>
                  </w:tcBorders>
                </w:tcPr>
                <w:p/>
              </w:tc>
              <w:tc>
                <w:tcPr>
                  <w:tcW w:type="dxa" w:w="32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违反执业行为准则、职业道德准则；以不正当的方式参与竞争：故意损害同行的声誉；未经客户允许，泄漏客户的技术和商业秘密。</w:t>
                  </w:r>
                </w:p>
              </w:tc>
              <w:tc>
                <w:tcPr>
                  <w:tcW w:type="dxa" w:w="8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差</w:t>
                  </w:r>
                  <w:r>
                    <w:rPr>
                      <w:sz w:val="21"/>
                      <w:color w:val="000000"/>
                    </w:rPr>
                    <w:t>0-3分</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1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各项评分合计</w:t>
                  </w:r>
                </w:p>
              </w:tc>
              <w:tc>
                <w:tcPr>
                  <w:tcW w:type="dxa" w:w="138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评价总分（各项评分合计得分除以评价项数，再乘以</w:t>
                  </w:r>
                  <w:r>
                    <w:rPr>
                      <w:sz w:val="21"/>
                      <w:color w:val="000000"/>
                    </w:rPr>
                    <w:t>20）</w:t>
                  </w:r>
                </w:p>
              </w:tc>
              <w:tc>
                <w:tcPr>
                  <w:tcW w:type="dxa" w:w="138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51"/>
                  <w:gridSpan w:val="5"/>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color w:val="000000"/>
                    </w:rPr>
                    <w:t>评价单位（公章）：</w:t>
                  </w:r>
                </w:p>
              </w:tc>
              <w:tc>
                <w:tcPr>
                  <w:tcW w:type="dxa" w:w="945"/>
                  <w:gridSpan w:val="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color w:val="000000"/>
                    </w:rPr>
                    <w:t>评价单位负责人：</w:t>
                  </w:r>
                </w:p>
              </w:tc>
            </w:tr>
            <w:tr>
              <w:tc>
                <w:tcPr>
                  <w:tcW w:type="dxa" w:w="5596"/>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r>
                    <w:rPr>
                      <w:sz w:val="21"/>
                      <w:color w:val="000000"/>
                    </w:rPr>
                    <w:t xml:space="preserve">   </w:t>
                  </w:r>
                </w:p>
              </w:tc>
            </w:tr>
            <w:tr>
              <w:tc>
                <w:tcPr>
                  <w:tcW w:type="dxa" w:w="5596"/>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color w:val="000000"/>
                    </w:rPr>
                    <w:t>此表用于采购人对中标人的服务质量满意度的评价，每个评价项目都分为三级，分数确定：优良为</w:t>
                  </w:r>
                  <w:r>
                    <w:rPr>
                      <w:sz w:val="21"/>
                      <w:color w:val="000000"/>
                    </w:rPr>
                    <w:t>4-5分；一般为3-4分；差为0-3分，由评价人自主确定。总体评价得分由五分制换算为百分制。</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采购包2（2025-2026年杏坛镇工程造价评审服务项目（包组2））</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★合同金额达到采购预算金额或自合同签订之日起至2026年12月31日止，以先到达的为准。</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付款方式：1.每项审核服务业务须另行签订委托合同，审核费按半年度结算，中标人向采购人提交支付申请，经采购人核对无误后，中标人向采购人提交合法、有效的发票，由采购人按程序办理拨付。 2.费用标准：中标折扣率×按计费标准计算的费用—扣罚费用（如有）。 3.计费标准：见附件《杏坛镇财政资金投资评审工程造价咨询服务收费项目和收费标准表》，具体计算方法按招标文件和协议书的约定执行。 4.合同执行过程中，如采购人根据上级文件精神或工作实际，对计费标准及付费方式进行调整，中标人有权根据企业自身情况作出继续接受委托或退出委托的选择，此时如中标人选择退出，采购人将不作任何补偿。</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1期：★验收要求：1.中标人须为验收提供必需的一切条件。2.项目验收依次序对照执行标准 ：（1）符合中华人民共和国国家和履约地相关安全质量标准、行业技术规范标准、环保节能标准；（2）符合招标文件和投标承诺中各方共同认可的各项要求；（3）上述各类标准与法规必须是有关官方机构最新发布的现行标准版本。</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★付款方式补充，1.中标人凭以下有效文件进行结算： （1）合同； （2）正式等额合法有效发票，收款方、出具发票方、合同乙方均必须与中标人名称一致；（3）中标通知书；（4）请款函。 2.付款期间如因特殊情况需调整，由双方协商处理。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（一）本项目以折扣率报价。折扣率数值最多精确到小数点后两位，报价范围为：0%＜折扣率≤100%。 （二）投标报价包含但不限于以下费用：完成本项目所有工作内容的成本费、劳务费、交通费、场地费、采购代理费用、成果文件费用、税金（全额含税发票）、雇员费用以及项目实施过程中其它应预见和不可预见费用等完成本采购项目、达到采购人目的的一切费用及企业利润。 （三）投标人必须自行考虑在本项目实施期间的一切可能产生的费用，在项目的实施过程中，采购人除了支付合同付款方式中规定的款项外，一切合同规定外的费用将拒绝支付。</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成果文件要求</w:t>
            </w:r>
          </w:p>
        </w:tc>
        <w:tc>
          <w:tcPr>
            <w:tcW w:type="dxa" w:w="2076"/>
          </w:tcPr>
          <w:p>
            <w:pPr>
              <w:pStyle w:val="null3"/>
              <w:jc w:val="left"/>
            </w:pPr>
            <w:r>
              <w:rPr/>
              <w:t>（一）过程的审核痕迹资料。包括审核过程发现的问题与处理意见，与建设单位、建设单位委托的中介单位、施工单位在协调、取证、对数等过程中提出的问题及处理意见。 （二）对于技术交底各项要求的响应。 （三）审核结果与报送结果差异的分析。应把差异的每项内容列举，并简要分析。 （四）工程主要指标分析。 （五）工程量复核计算稿。 （六）现场勘察的照片。 （七）按委托人要求提交成果资料。</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违约责任</w:t>
            </w:r>
          </w:p>
        </w:tc>
        <w:tc>
          <w:tcPr>
            <w:tcW w:type="dxa" w:w="2076"/>
          </w:tcPr>
          <w:p>
            <w:pPr>
              <w:pStyle w:val="null3"/>
              <w:jc w:val="left"/>
            </w:pPr>
            <w:r>
              <w:rPr/>
              <w:t>对中标人出现审核质量问题、审核超时、违反程序和泄密等违约行为的，采购人有权对违约中标人按委托协议进行警告、减少委托任务、扣减委托费、解除委托，并对其所造成的经济损失和法律纠纷依法追究经济和法律责任。 （一）对出现审核质量问题的处罚。为实施对审价结果准确性的监督，采购人有权委托有关部门、其他审价机构对中标人的编审结果进行复审，如经复审发现中标人的编审结果与复核结果存在差异且偏差率i超过以下情况的（其中i=(审价机构审核金额-经确认的复核金额)/经确认的复核金额），且证实是中标人审核结果存在问题的，对相应的中标人作出如下的处理： 1、︱i︱≦10%内（︱i︱为i的数学绝对值），对负责审价的中标人进行口头或书面警告处理。但子项偏差超过50万元以上的项目，每出现一次按扣减委托费的5%处理，累计扣减不超过委托费的10%。 2、10%＜︱i︱≦20%的，扣减委托费的20%。 3、20%＜︱i︱≦30%的，扣减委托费的30%， 4、︱i︱＞30%，扣减委托费的100%，若在协议期内，出现两次上述情况，则终止委托协议关系。 5、出错情节特别严重的，可作出减少委托任务或提出取消其委托合作关系的处理。 6、对已拨付委托费但事后需要抽查或审计的项目，若负责审价的中标人提供的审核结果有问题需扣减相应委托费的，在该中标人今后实施的项目委托费中抵扣。 （二）逾期的处罚。建设单位报送资料齐全，因审价的中标人自身因素，未能按约定的时间提交初稿和定案稿进行复核和对复审意见处理不及时的，按如下规定处理： 1、逾期5个工作日内的，扣减委托费的20%。 2、逾期超过5个工作日又未达到10个工作日的，扣减委托费的50%。 3、逾期超过10个工作日，扣减委托费的100%，并终止委托协议关系。 （三）中标人不按协议完成委托业务、审核中出现严重错误或发生与委托业务相抵触的行为，除中标人与委托项目有利害关系需回避外，对在协议期间拒绝接受分配任务的中标人，采购人有权终止该中标人的服务合同，追究其相关的法律和经济责任，所造成的一切损失由其负责。 （四）实行廉政建设一票否决制。委托服务期间，采购人若发现中标人或中标人审核人员有弄虚作假、玩忽职守、徇私舞弊等违规违纪现象，或与施工、设计、监理和编制等单位串通，违反诚实信用和投标承诺等，以谋取非法利益或损害政府利益的，一经采购人查实，采购人有权对违约中标人按委托协议约定进行警告、扣减委托费、减少委托任务、解除委托和不得参与采购人下一次相同项目投标等处罚，并对其所造成的经济损失和法律纠纷依法追究经济和法律责任。 （五）对拒绝接受采购人监督检查和管理的中标人，采购人有权解除合同。 （六）中标人必须独立完成采购人委托的评审任务，不得将评审业务转让给第三方实施。采购人若发现中标人将采购人委托的评审业务转让给第三方实施的，一经证实，采购人有权对违约中标人按委托协议约定解除委托，并对其所造成的经济损失和法律纠纷依法追究经济和法律责任。 （七）因中标人原因导致项目评审结论不实，引起诉讼和纠纷的，该中标人除承担相关责任外，采购人还将根据情节的严重程度对此中标人作出通报批评、扣减评审费用、停止委托新的评审任务和解除委托服务协议书等处罚。 （八）对中标人出现的其他严重违法违规行为，采购人有权终止该中标人的审核活动，追究其相关的法律和经济责任，所造成的一切损失由其负责。 （九）清退规则 服务期内，中标人出现下列情况，所涉及项目未支付的委托费用不再支付、已委托尚未开展的新项目解除委托、即时取消本项目服务资格；若发生经济损失或涉及法律纠纷，委托人将依法追究相关单位及人员的经济和法律责任： 1、无正当理由逾期 10个工作日以上不能按评审任务通知书及技术交底提交造价成果的。 2、中标人及审核人员工作出现重大过失，引起诉讼或纠纷，给评审工作造成损失或严重后果的。 3、违反诚信及廉政建设要求的：中标人及其相关人员有徇私舞弊；违反国家、省及财政部门有关保密规定，泄露评审时知悉的国家机密和商业秘密；未经业务委托的相关部门同意，向项目以外的其他单位或个人披露评审项目的有关信息，对外提供、泄露或公开评审有关情况；与建设、施工、设计、监理、其他中介咨询单位等串通，违反诚实信用和投标承诺，谋取非法利益或损害政府利益的。 4、在委托业务审核过程中，与委托项目有利害关系应回避而未回避的。 5、服务期内，非应回避的原因拒绝接受委托任务达到二次的。 6、违反投标文件中关于到现场服务时间的承诺达到二次的。 7、将委托的评审业务转让给第三方实施的。 8、拒绝接受采购人监督检查和管理的。 9、清查中发现人员配备情况与中标承诺不符，在委托人规定时限内未完成整改的。 10、出现信用危机、财务危机、生产经营危机，甚至破产无法继续履行合同的。</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保密要求</w:t>
            </w:r>
          </w:p>
        </w:tc>
        <w:tc>
          <w:tcPr>
            <w:tcW w:type="dxa" w:w="2076"/>
          </w:tcPr>
          <w:p>
            <w:pPr>
              <w:pStyle w:val="null3"/>
              <w:jc w:val="left"/>
            </w:pPr>
            <w:r>
              <w:rPr/>
              <w:t>（一）中标人应严格遵守采购人提出的各项规章制度和廉政纪律要求。 （二）为实施对中标人编审结果准确性的监督，采购人有权委托有关部门、其他中标人或由采购人对中标人的编审结果进行抽样复核、审查。对项目评审工作底稿等内容，采购人将随时随机进行抽查。中标人必须无条件配合采购人做好复审、复核和考核工作。 （三）中标人不得再接受除采购人外的其他委托人对同一项目服务委托，即不能就同一项目既接受财政部门的委托，又接受项目发包、承包单位等相对利益关系人的委托。 （四）与委托项目有厉害关系的，中标人须主动向采购人提出回避，可能对项目评审结论产生影响的，应当主动向采购人报告并进行回避。 （五）中标人对采购人委托的评审项目的有关资料、信息、报告及结论须承担保密责任，并对因泄密造成的后果负经济和法律责任。未经采购人许可，不得将上述情况泄露和提供给他人。</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其他咨询服务</w:t>
            </w:r>
          </w:p>
        </w:tc>
        <w:tc>
          <w:tcPr>
            <w:tcW w:type="dxa" w:w="831"/>
          </w:tcPr>
          <w:p>
            <w:pPr>
              <w:pStyle w:val="null3"/>
              <w:jc w:val="left"/>
            </w:pPr>
            <w:r>
              <w:rPr/>
              <w:t>2025-2026年杏坛镇工程造价评审服务项目（包组2）</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650,000.00</w:t>
            </w:r>
          </w:p>
        </w:tc>
        <w:tc>
          <w:tcPr>
            <w:tcW w:type="dxa" w:w="831"/>
          </w:tcPr>
          <w:p>
            <w:pPr>
              <w:pStyle w:val="null3"/>
              <w:jc w:val="right"/>
            </w:pPr>
            <w:r>
              <w:rPr/>
              <w:t>650,000.00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2025-2026年杏坛镇工程造价评审服务项目（包组2）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服务内容</w:t>
            </w:r>
          </w:p>
          <w:p>
            <w:pPr>
              <w:pStyle w:val="null3"/>
              <w:jc w:val="both"/>
            </w:pPr>
            <w:r>
              <w:rPr>
                <w:sz w:val="21"/>
              </w:rPr>
              <w:t>为加强财政投资工程预结算评审工作的管理，提高评审审核质量和效率，结合工作实际，按公开、公平、公正的原则，对评审机构进行招标，择优确定高素质、高质量和高效率的评审机构参与采购人委托的工程预结算审核工作，具体的评审工作按采购人的规章制度或文件要求开展。</w:t>
            </w:r>
          </w:p>
        </w:tc>
      </w:tr>
      <w:tr>
        <w:tc>
          <w:tcPr>
            <w:tcW w:type="dxa" w:w="2076"/>
          </w:tcPr>
          <w:p/>
        </w:tc>
        <w:tc>
          <w:tcPr>
            <w:tcW w:type="dxa" w:w="415"/>
          </w:tcPr>
          <w:p>
            <w:pPr>
              <w:pStyle w:val="null3"/>
            </w:pPr>
            <w:r>
              <w:rPr/>
              <w:t>2</w:t>
            </w:r>
          </w:p>
        </w:tc>
        <w:tc>
          <w:tcPr>
            <w:tcW w:type="dxa" w:w="5814"/>
          </w:tcPr>
          <w:p>
            <w:pPr>
              <w:pStyle w:val="null3"/>
              <w:jc w:val="both"/>
            </w:pPr>
            <w:r>
              <w:rPr>
                <w:sz w:val="21"/>
                <w:b/>
              </w:rPr>
              <w:t>服务范围及要求</w:t>
            </w:r>
          </w:p>
          <w:p>
            <w:pPr>
              <w:pStyle w:val="null3"/>
              <w:jc w:val="both"/>
            </w:pPr>
            <w:r>
              <w:rPr>
                <w:sz w:val="21"/>
              </w:rPr>
              <w:t>（一）杏坛镇范围内使用</w:t>
            </w:r>
            <w:r>
              <w:rPr>
                <w:sz w:val="21"/>
              </w:rPr>
              <w:t>镇财政性资金</w:t>
            </w:r>
            <w:r>
              <w:rPr>
                <w:sz w:val="21"/>
              </w:rPr>
              <w:t>且工程估算达到人民币</w:t>
            </w:r>
            <w:r>
              <w:rPr>
                <w:sz w:val="21"/>
              </w:rPr>
              <w:t>1000</w:t>
            </w:r>
            <w:r>
              <w:rPr>
                <w:sz w:val="21"/>
              </w:rPr>
              <w:t>万元或以上、概算、招标控制价（合同价</w:t>
            </w:r>
            <w:r>
              <w:rPr>
                <w:sz w:val="21"/>
              </w:rPr>
              <w:t>)</w:t>
            </w:r>
            <w:r>
              <w:rPr>
                <w:sz w:val="21"/>
              </w:rPr>
              <w:t>、结算，变更达到人民币</w:t>
            </w:r>
            <w:r>
              <w:rPr>
                <w:sz w:val="21"/>
              </w:rPr>
              <w:t>100</w:t>
            </w:r>
            <w:r>
              <w:rPr>
                <w:sz w:val="21"/>
              </w:rPr>
              <w:t>万元或以上的房屋建筑和市政公用工程、水利工程、送配电、园林绿化工程等。注</w:t>
            </w:r>
            <w:r>
              <w:rPr>
                <w:sz w:val="21"/>
              </w:rPr>
              <w:t xml:space="preserve">: </w:t>
            </w:r>
            <w:r>
              <w:rPr>
                <w:sz w:val="21"/>
              </w:rPr>
              <w:t>结算、变更评审项目金额可能包括人民币</w:t>
            </w:r>
            <w:r>
              <w:rPr>
                <w:sz w:val="21"/>
              </w:rPr>
              <w:t>10</w:t>
            </w:r>
            <w:r>
              <w:rPr>
                <w:sz w:val="21"/>
              </w:rPr>
              <w:t>万元以上项目。具体服务范围以实际委托为准。</w:t>
            </w:r>
          </w:p>
          <w:p>
            <w:pPr>
              <w:pStyle w:val="null3"/>
              <w:jc w:val="both"/>
            </w:pPr>
            <w:r>
              <w:rPr>
                <w:sz w:val="21"/>
              </w:rPr>
              <w:t>（二）项目估算、概算、预算审核：</w:t>
            </w:r>
          </w:p>
          <w:p>
            <w:pPr>
              <w:pStyle w:val="null3"/>
              <w:jc w:val="both"/>
            </w:pPr>
            <w:r>
              <w:rPr>
                <w:sz w:val="21"/>
              </w:rPr>
              <w:t>全面复核清单工程量、综合单价及材料单价、措施费和规费；复核的子项工程量在技术交底中确定，审核工程量的重点在临时工程、大包干项目、造价高比重大项目、图形复杂计量困难项目、新材料新工艺项目、图纸有缺陷项目等。分析工程量清单描述对应图纸的符合性及全面性、分析进行造价指标、对比同类工程单位造价及主要材料单位含量（或造价）指标，提供材料及设备的询价资料。</w:t>
            </w:r>
          </w:p>
          <w:p>
            <w:pPr>
              <w:pStyle w:val="null3"/>
              <w:jc w:val="both"/>
            </w:pPr>
            <w:r>
              <w:rPr>
                <w:sz w:val="21"/>
              </w:rPr>
              <w:t>（三）结算审核：</w:t>
            </w:r>
          </w:p>
          <w:p>
            <w:pPr>
              <w:pStyle w:val="null3"/>
              <w:jc w:val="both"/>
            </w:pPr>
            <w:r>
              <w:rPr>
                <w:sz w:val="21"/>
              </w:rPr>
              <w:t>全面复核工程量；工程签证与招标文件、合同约定及现场情况是否冲突；关注招标文件与施工合同文件的约定；工程量清单描述对应图纸的符合性及全面性；综合单价、材料单价的复核；增加工程中综合单价套用定额的复核，新材料、新工艺单价的分析及询价资料；工程索赔资料的分析。</w:t>
            </w:r>
          </w:p>
        </w:tc>
      </w:tr>
      <w:tr>
        <w:tc>
          <w:tcPr>
            <w:tcW w:type="dxa" w:w="2076"/>
          </w:tcPr>
          <w:p/>
        </w:tc>
        <w:tc>
          <w:tcPr>
            <w:tcW w:type="dxa" w:w="415"/>
          </w:tcPr>
          <w:p>
            <w:pPr>
              <w:pStyle w:val="null3"/>
            </w:pPr>
            <w:r>
              <w:rPr/>
              <w:t>3</w:t>
            </w:r>
          </w:p>
        </w:tc>
        <w:tc>
          <w:tcPr>
            <w:tcW w:type="dxa" w:w="5814"/>
          </w:tcPr>
          <w:p>
            <w:pPr>
              <w:pStyle w:val="null3"/>
              <w:jc w:val="both"/>
            </w:pPr>
            <w:r>
              <w:rPr>
                <w:sz w:val="21"/>
                <w:b/>
              </w:rPr>
              <w:t>评审项目任务分配方法</w:t>
            </w:r>
          </w:p>
          <w:p>
            <w:pPr>
              <w:pStyle w:val="null3"/>
              <w:jc w:val="both"/>
            </w:pPr>
            <w:r>
              <w:rPr>
                <w:sz w:val="21"/>
              </w:rPr>
              <w:t>（</w:t>
            </w:r>
            <w:r>
              <w:rPr>
                <w:sz w:val="21"/>
              </w:rPr>
              <w:t>一</w:t>
            </w:r>
            <w:r>
              <w:rPr>
                <w:sz w:val="21"/>
              </w:rPr>
              <w:t>）</w:t>
            </w:r>
            <w:r>
              <w:rPr>
                <w:sz w:val="21"/>
              </w:rPr>
              <w:t>原则：各中标人最终的审核费用，趋近于确定的审核费用配比。</w:t>
            </w:r>
          </w:p>
          <w:p>
            <w:pPr>
              <w:pStyle w:val="null3"/>
              <w:jc w:val="both"/>
            </w:pPr>
            <w:r>
              <w:rPr>
                <w:sz w:val="21"/>
              </w:rPr>
              <w:t>（</w:t>
            </w:r>
            <w:r>
              <w:rPr>
                <w:sz w:val="21"/>
              </w:rPr>
              <w:t>二</w:t>
            </w:r>
            <w:r>
              <w:rPr>
                <w:sz w:val="21"/>
              </w:rPr>
              <w:t>）</w:t>
            </w:r>
            <w:r>
              <w:rPr>
                <w:sz w:val="21"/>
              </w:rPr>
              <w:t>操作步骤：</w:t>
            </w:r>
          </w:p>
          <w:p>
            <w:pPr>
              <w:pStyle w:val="null3"/>
              <w:jc w:val="both"/>
            </w:pPr>
            <w:r>
              <w:rPr>
                <w:sz w:val="21"/>
              </w:rPr>
              <w:t>1</w:t>
            </w:r>
            <w:r>
              <w:rPr>
                <w:sz w:val="21"/>
              </w:rPr>
              <w:t>、</w:t>
            </w:r>
            <w:r>
              <w:rPr>
                <w:sz w:val="21"/>
              </w:rPr>
              <w:t>由采购人根据自身需求确定基准审核费用配比：按各中标费率由低到高，配比为</w:t>
            </w:r>
            <w:r>
              <w:rPr>
                <w:sz w:val="21"/>
              </w:rPr>
              <w:t>45%:35%:20%。如三个中标人费率相同，配比均分即33.33%：33.33%：33.33%（首轮项目抽签）；如两个中标人费率相同且费率最低，配比为40%：40%：20%（首轮项目抽签）；如两个中标人费率相同且费率最高，配比为45%：27.5%：27.5%（首轮项目抽签）</w:t>
            </w:r>
            <w:r>
              <w:rPr>
                <w:sz w:val="21"/>
              </w:rPr>
              <w:t>。</w:t>
            </w:r>
          </w:p>
          <w:p>
            <w:pPr>
              <w:pStyle w:val="null3"/>
              <w:jc w:val="both"/>
            </w:pPr>
            <w:r>
              <w:rPr>
                <w:sz w:val="21"/>
              </w:rPr>
              <w:t>2</w:t>
            </w:r>
            <w:r>
              <w:rPr>
                <w:sz w:val="21"/>
              </w:rPr>
              <w:t>、</w:t>
            </w:r>
            <w:r>
              <w:rPr>
                <w:sz w:val="21"/>
              </w:rPr>
              <w:t>首轮项目按中标人的中标折扣率由低到高依次委托。</w:t>
            </w:r>
          </w:p>
          <w:p>
            <w:pPr>
              <w:pStyle w:val="null3"/>
              <w:jc w:val="both"/>
            </w:pPr>
            <w:r>
              <w:rPr>
                <w:sz w:val="21"/>
              </w:rPr>
              <w:t>3、各中标人的首个项目完成后，计算各中标人的实际审核费用配比</w:t>
            </w:r>
            <w:r>
              <w:rPr>
                <w:sz w:val="21"/>
              </w:rPr>
              <w:t>（即，各中标人实际完成的审核费用占</w:t>
            </w:r>
            <w:r>
              <w:rPr>
                <w:sz w:val="21"/>
              </w:rPr>
              <w:t>已发生的总审核费用</w:t>
            </w:r>
            <w:r>
              <w:rPr>
                <w:sz w:val="21"/>
              </w:rPr>
              <w:t>的比例）。</w:t>
            </w:r>
          </w:p>
          <w:p>
            <w:pPr>
              <w:pStyle w:val="null3"/>
              <w:jc w:val="both"/>
            </w:pPr>
            <w:r>
              <w:rPr>
                <w:sz w:val="21"/>
              </w:rPr>
              <w:t>4</w:t>
            </w:r>
            <w:r>
              <w:rPr>
                <w:sz w:val="21"/>
              </w:rPr>
              <w:t>、</w:t>
            </w:r>
            <w:r>
              <w:rPr>
                <w:sz w:val="21"/>
              </w:rPr>
              <w:t>计算配比差</w:t>
            </w:r>
            <w:r>
              <w:rPr>
                <w:sz w:val="21"/>
              </w:rPr>
              <w:t>=实际审核费用配比-基准审核费用配比。配比差为负值最大的中标人确定为下一个项目委托人。</w:t>
            </w:r>
          </w:p>
          <w:p>
            <w:pPr>
              <w:pStyle w:val="null3"/>
              <w:jc w:val="both"/>
            </w:pPr>
            <w:r>
              <w:rPr>
                <w:sz w:val="21"/>
              </w:rPr>
              <w:t>（</w:t>
            </w:r>
            <w:r>
              <w:rPr>
                <w:sz w:val="21"/>
              </w:rPr>
              <w:t>三</w:t>
            </w:r>
            <w:r>
              <w:rPr>
                <w:sz w:val="21"/>
              </w:rPr>
              <w:t>）</w:t>
            </w:r>
            <w:r>
              <w:rPr>
                <w:sz w:val="21"/>
              </w:rPr>
              <w:t>说明</w:t>
            </w:r>
            <w:r>
              <w:rPr>
                <w:sz w:val="21"/>
              </w:rPr>
              <w:t>：</w:t>
            </w:r>
            <w:r>
              <w:rPr>
                <w:sz w:val="21"/>
              </w:rPr>
              <w:t>本办法中所述基准审核费用配比仅为分配参考指标，采购人不确保中标人最终的审核费用比例与该配比完全一致。</w:t>
            </w:r>
          </w:p>
          <w:p>
            <w:pPr>
              <w:pStyle w:val="null3"/>
              <w:jc w:val="both"/>
            </w:pPr>
            <w:r>
              <w:rPr>
                <w:sz w:val="21"/>
              </w:rPr>
              <w:t>（</w:t>
            </w:r>
            <w:r>
              <w:rPr>
                <w:sz w:val="21"/>
              </w:rPr>
              <w:t>四</w:t>
            </w:r>
            <w:r>
              <w:rPr>
                <w:sz w:val="21"/>
              </w:rPr>
              <w:t>）</w:t>
            </w:r>
            <w:r>
              <w:rPr>
                <w:sz w:val="21"/>
              </w:rPr>
              <w:t>调整基准审核费用配比的情况：</w:t>
            </w:r>
          </w:p>
          <w:p>
            <w:pPr>
              <w:pStyle w:val="null3"/>
              <w:jc w:val="both"/>
            </w:pPr>
            <w:r>
              <w:rPr>
                <w:sz w:val="21"/>
              </w:rPr>
              <w:t>1</w:t>
            </w:r>
            <w:r>
              <w:rPr>
                <w:sz w:val="21"/>
              </w:rPr>
              <w:t>、</w:t>
            </w:r>
            <w:r>
              <w:rPr>
                <w:sz w:val="21"/>
              </w:rPr>
              <w:t>项目分配时，配比差负值最大的中标人符合回避原则的，项目委托任务改由配比差负值次高的中标人实施，各中标人的基准审核费用配比保持不变。</w:t>
            </w:r>
          </w:p>
          <w:p>
            <w:pPr>
              <w:pStyle w:val="null3"/>
              <w:jc w:val="both"/>
            </w:pPr>
            <w:r>
              <w:rPr>
                <w:sz w:val="21"/>
              </w:rPr>
              <w:t>2</w:t>
            </w:r>
            <w:r>
              <w:rPr>
                <w:sz w:val="21"/>
              </w:rPr>
              <w:t>、</w:t>
            </w:r>
            <w:r>
              <w:rPr>
                <w:sz w:val="21"/>
              </w:rPr>
              <w:t>中标人非应回避的原因拒绝接受分配的，视同放弃本轮次项目委托资格，项目委托任务改由配比差负值次高的中标人实施。放弃项目委托资格累计</w:t>
            </w:r>
            <w:r>
              <w:rPr>
                <w:sz w:val="21"/>
              </w:rPr>
              <w:t>1次的中标人，自放弃委托之后的基准审核费用配比降低5%，降低的配比份额平均分配给另两个中标人。</w:t>
            </w:r>
          </w:p>
          <w:p>
            <w:pPr>
              <w:pStyle w:val="null3"/>
              <w:jc w:val="both"/>
            </w:pPr>
            <w:r>
              <w:rPr>
                <w:sz w:val="21"/>
              </w:rPr>
              <w:t>3</w:t>
            </w:r>
            <w:r>
              <w:rPr>
                <w:sz w:val="21"/>
              </w:rPr>
              <w:t>、</w:t>
            </w:r>
            <w:r>
              <w:rPr>
                <w:sz w:val="21"/>
              </w:rPr>
              <w:t>中标人无法按时按质完成委托任务的，视同放弃本轮次项目委托资格，基准审核费用配比调整参考第</w:t>
            </w:r>
            <w:r>
              <w:rPr>
                <w:sz w:val="21"/>
              </w:rPr>
              <w:t>2条。</w:t>
            </w:r>
          </w:p>
          <w:p>
            <w:pPr>
              <w:pStyle w:val="null3"/>
              <w:jc w:val="both"/>
            </w:pPr>
            <w:r>
              <w:rPr>
                <w:sz w:val="21"/>
              </w:rPr>
              <w:t>（五）</w:t>
            </w:r>
            <w:r>
              <w:rPr>
                <w:sz w:val="21"/>
              </w:rPr>
              <w:t>回避规则：接受项目委托的中标人与委托项目有利害关系的（包括但不限于结算评审单位参与该项目施工图预算阶段造价的编制或中标人与该项目相关实施单位有利害关系等），必须主动申请回避。</w:t>
            </w:r>
            <w:r>
              <w:br/>
            </w:r>
            <w:r>
              <w:rPr>
                <w:sz w:val="21"/>
              </w:rPr>
              <w:t>（</w:t>
            </w:r>
            <w:r>
              <w:rPr>
                <w:sz w:val="21"/>
              </w:rPr>
              <w:t>六</w:t>
            </w:r>
            <w:r>
              <w:rPr>
                <w:sz w:val="21"/>
              </w:rPr>
              <w:t>）</w:t>
            </w:r>
            <w:r>
              <w:rPr>
                <w:sz w:val="21"/>
              </w:rPr>
              <w:t>服务期内采购人根据实际情况可调整分配方式，</w:t>
            </w:r>
            <w:r>
              <w:rPr>
                <w:sz w:val="21"/>
              </w:rPr>
              <w:t>具体分配方式以采购人签订合同时提供为准。</w:t>
            </w:r>
            <w:r>
              <w:rPr>
                <w:sz w:val="21"/>
              </w:rPr>
              <w:t>中标人</w:t>
            </w:r>
            <w:r>
              <w:rPr>
                <w:sz w:val="21"/>
              </w:rPr>
              <w:t>应</w:t>
            </w:r>
            <w:r>
              <w:rPr>
                <w:sz w:val="21"/>
              </w:rPr>
              <w:t>无条件接受。</w:t>
            </w:r>
          </w:p>
        </w:tc>
      </w:tr>
      <w:tr>
        <w:tc>
          <w:tcPr>
            <w:tcW w:type="dxa" w:w="2076"/>
          </w:tcPr>
          <w:p/>
        </w:tc>
        <w:tc>
          <w:tcPr>
            <w:tcW w:type="dxa" w:w="415"/>
          </w:tcPr>
          <w:p>
            <w:pPr>
              <w:pStyle w:val="null3"/>
            </w:pPr>
            <w:r>
              <w:rPr/>
              <w:t>4</w:t>
            </w:r>
          </w:p>
        </w:tc>
        <w:tc>
          <w:tcPr>
            <w:tcW w:type="dxa" w:w="5814"/>
          </w:tcPr>
          <w:p>
            <w:pPr>
              <w:pStyle w:val="null3"/>
              <w:jc w:val="both"/>
            </w:pPr>
            <w:r>
              <w:rPr>
                <w:sz w:val="21"/>
                <w:b/>
              </w:rPr>
              <w:t>项目实施人员要求</w:t>
            </w:r>
          </w:p>
          <w:p>
            <w:pPr>
              <w:pStyle w:val="null3"/>
              <w:jc w:val="both"/>
            </w:pPr>
            <w:r>
              <w:rPr>
                <w:sz w:val="21"/>
              </w:rPr>
              <w:t>（一）投标人应具备足够的人力、物力等资源，保证按时按质按量完成委托的评审业务，且对基建工程评审的各个专业领域都比较熟悉。</w:t>
            </w:r>
          </w:p>
          <w:p>
            <w:pPr>
              <w:pStyle w:val="null3"/>
              <w:jc w:val="both"/>
            </w:pPr>
            <w:r>
              <w:rPr>
                <w:sz w:val="21"/>
              </w:rPr>
              <w:t>（二）投标人应具有一般土建、市政、装饰、安装、园林绿化工程以及水利等专业工程的审核能力和经验，并具备相关专业的工程师和专家。</w:t>
            </w:r>
          </w:p>
          <w:p>
            <w:pPr>
              <w:pStyle w:val="null3"/>
              <w:jc w:val="both"/>
            </w:pPr>
            <w:r>
              <w:rPr>
                <w:sz w:val="21"/>
              </w:rPr>
              <w:t>（三）拟派评审人员名单由公司负责人、管理人员、审核人员（相关专业专家）组成，其中拟派的管理人员应具备丰富的工程审核管理经验，拟派的评审人员应具备较强的工程审核能力和财政评审经验，其中具有注册造价工程师的人员人数在</w:t>
            </w:r>
            <w:r>
              <w:rPr>
                <w:sz w:val="21"/>
              </w:rPr>
              <w:t>2</w:t>
            </w:r>
            <w:r>
              <w:rPr>
                <w:sz w:val="21"/>
              </w:rPr>
              <w:t>人或以上（至少要含</w:t>
            </w:r>
            <w:r>
              <w:rPr>
                <w:sz w:val="21"/>
              </w:rPr>
              <w:t>1</w:t>
            </w:r>
            <w:r>
              <w:rPr>
                <w:sz w:val="21"/>
              </w:rPr>
              <w:t>名高级工程师）。</w:t>
            </w:r>
          </w:p>
          <w:p>
            <w:pPr>
              <w:pStyle w:val="null3"/>
              <w:jc w:val="both"/>
            </w:pPr>
            <w:r>
              <w:rPr>
                <w:sz w:val="21"/>
              </w:rPr>
              <w:t>（四）投标人应在投标文件中对拟选派的评审人员进行承诺，并列明拟派评审人员的详细情况，内容包括：评审人员姓名、年龄、专业、执业（专业）资格证号、职称。拟派评审从业人员应覆盖建筑、安装、装饰、园林绿化、市政、电力（电气）、公路（路桥）、水利等专业，具体人数由投标单位根据采购人的要求和投标单位的自身情况决定。中标人必须按照投标文件承诺选派人员，如需变更的，须报经采购人同意。</w:t>
            </w:r>
          </w:p>
          <w:p>
            <w:pPr>
              <w:pStyle w:val="null3"/>
              <w:jc w:val="both"/>
            </w:pPr>
            <w:r>
              <w:rPr>
                <w:sz w:val="21"/>
              </w:rPr>
              <w:t>（五）在工程评审过程中，采购人若发现中标人工作人员存在职业道德、工作态度和能力等问题不能胜任评审工作要求的，采购人保留更换相关人员、减少委托任务和更换中标人的权利。</w:t>
            </w:r>
          </w:p>
          <w:p>
            <w:pPr>
              <w:pStyle w:val="null3"/>
              <w:jc w:val="both"/>
            </w:pPr>
            <w:r>
              <w:rPr>
                <w:sz w:val="21"/>
              </w:rPr>
              <w:t>（六）拟派评审人员需在其执业资格内执业。</w:t>
            </w:r>
          </w:p>
        </w:tc>
      </w:tr>
      <w:tr>
        <w:tc>
          <w:tcPr>
            <w:tcW w:type="dxa" w:w="2076"/>
          </w:tcPr>
          <w:p/>
        </w:tc>
        <w:tc>
          <w:tcPr>
            <w:tcW w:type="dxa" w:w="415"/>
          </w:tcPr>
          <w:p>
            <w:pPr>
              <w:pStyle w:val="null3"/>
            </w:pPr>
            <w:r>
              <w:rPr/>
              <w:t>5</w:t>
            </w:r>
          </w:p>
        </w:tc>
        <w:tc>
          <w:tcPr>
            <w:tcW w:type="dxa" w:w="5814"/>
          </w:tcPr>
          <w:p>
            <w:pPr>
              <w:pStyle w:val="null3"/>
              <w:jc w:val="both"/>
            </w:pPr>
            <w:r>
              <w:rPr>
                <w:sz w:val="21"/>
                <w:b/>
              </w:rPr>
              <w:t>具体服务要求</w:t>
            </w:r>
          </w:p>
          <w:p>
            <w:pPr>
              <w:pStyle w:val="null3"/>
              <w:jc w:val="both"/>
            </w:pPr>
            <w:r>
              <w:rPr>
                <w:sz w:val="21"/>
              </w:rPr>
              <w:t>（一）投标人需针对本次招标而制定服务计划及承诺。</w:t>
            </w:r>
          </w:p>
          <w:p>
            <w:pPr>
              <w:pStyle w:val="null3"/>
              <w:jc w:val="both"/>
            </w:pPr>
            <w:r>
              <w:rPr>
                <w:sz w:val="21"/>
              </w:rPr>
              <w:t>（二）投标人有健全的组织机构和内部管理制度，有完善的质量保证体系和技术经济档案管理制度，有良好的服务态度和较好的社会信誉。</w:t>
            </w:r>
          </w:p>
          <w:p>
            <w:pPr>
              <w:pStyle w:val="null3"/>
              <w:jc w:val="both"/>
            </w:pPr>
            <w:r>
              <w:rPr>
                <w:sz w:val="21"/>
              </w:rPr>
              <w:t>（三）投标人有保证业务需要的交通工具、现代办公设备和符合顺德当地造价管理部门要求的造价评审管理软件。</w:t>
            </w:r>
          </w:p>
          <w:p>
            <w:pPr>
              <w:pStyle w:val="null3"/>
              <w:jc w:val="both"/>
            </w:pPr>
            <w:r>
              <w:rPr>
                <w:sz w:val="21"/>
              </w:rPr>
              <w:t>（四）中标人应根据国家和省、市有关工程造价的法规、政策、文件，以及基建财务管理的有关规定，本着为政府节约投资的原则，科学、客观、公正地开展评审工作，按采购人的要求，按时按质按量提供评审报告，并对评审结论的真实性、准确性、完整性和合法性负责。对复审和抽查发现有重大质量问题或较大幅度漏审的，以及因项目评审结论不实，引起诉讼和纠纷的，中标人须承担相关责任并接受采购人作出的通报批评、扣减评审费用、停止委托新的评审任务和解除委托合同等处罚。</w:t>
            </w:r>
          </w:p>
          <w:p>
            <w:pPr>
              <w:pStyle w:val="null3"/>
              <w:jc w:val="both"/>
            </w:pPr>
            <w:r>
              <w:rPr>
                <w:sz w:val="21"/>
              </w:rPr>
              <w:t>（五）中标人必须独立完成采购人委托的评审任务，不得将评审业务转让给第三方完成，并能按采购人的要求定期做好已完成项目的相关资料的移交和归档工作。</w:t>
            </w:r>
          </w:p>
          <w:p>
            <w:pPr>
              <w:pStyle w:val="null3"/>
              <w:jc w:val="both"/>
            </w:pPr>
            <w:r>
              <w:rPr>
                <w:sz w:val="21"/>
              </w:rPr>
              <w:t>（六）中标人需向采购人提供常设全天候</w:t>
            </w:r>
            <w:r>
              <w:rPr>
                <w:sz w:val="21"/>
              </w:rPr>
              <w:t>24</w:t>
            </w:r>
            <w:r>
              <w:rPr>
                <w:sz w:val="21"/>
              </w:rPr>
              <w:t>小时服务热线和长期的免费技术支持。</w:t>
            </w:r>
          </w:p>
          <w:p>
            <w:pPr>
              <w:pStyle w:val="null3"/>
              <w:jc w:val="both"/>
            </w:pPr>
            <w:r>
              <w:rPr>
                <w:sz w:val="21"/>
              </w:rPr>
              <w:t>（七）采购人要求中标人接收送审资料的，中标人应当收到通知后</w:t>
            </w:r>
            <w:r>
              <w:rPr>
                <w:sz w:val="21"/>
              </w:rPr>
              <w:t>24</w:t>
            </w:r>
            <w:r>
              <w:rPr>
                <w:sz w:val="21"/>
              </w:rPr>
              <w:t>小时内到采购人指定地点签收相关资料。</w:t>
            </w:r>
          </w:p>
          <w:p>
            <w:pPr>
              <w:pStyle w:val="null3"/>
              <w:jc w:val="both"/>
            </w:pPr>
            <w:r>
              <w:rPr>
                <w:sz w:val="21"/>
              </w:rPr>
              <w:t>（八）定期配合采购人做好业务负责人和技术负责人的定期培训和例会工作。</w:t>
            </w:r>
          </w:p>
          <w:p>
            <w:pPr>
              <w:pStyle w:val="null3"/>
              <w:jc w:val="both"/>
            </w:pPr>
            <w:r>
              <w:rPr>
                <w:sz w:val="21"/>
              </w:rPr>
              <w:t>（九）非经采购人同意，不得就委托业务直接与建设、施工等单位联系。在征得采购人同意后，才能向建设单位索取资料。所取得的资料必须经过采购人确认，才能作为工程评审的依据。</w:t>
            </w:r>
          </w:p>
          <w:p>
            <w:pPr>
              <w:pStyle w:val="null3"/>
              <w:jc w:val="both"/>
            </w:pPr>
            <w:r>
              <w:rPr>
                <w:sz w:val="21"/>
              </w:rPr>
              <w:t>（十）投标人需为本项目制定应急预案（包括但不限于临时增加任务需求、任务加急处理工作安排等）。</w:t>
            </w:r>
          </w:p>
        </w:tc>
      </w:tr>
      <w:tr>
        <w:tc>
          <w:tcPr>
            <w:tcW w:type="dxa" w:w="2076"/>
          </w:tcPr>
          <w:p/>
        </w:tc>
        <w:tc>
          <w:tcPr>
            <w:tcW w:type="dxa" w:w="415"/>
          </w:tcPr>
          <w:p>
            <w:pPr>
              <w:pStyle w:val="null3"/>
            </w:pPr>
            <w:r>
              <w:rPr/>
              <w:t>6</w:t>
            </w:r>
          </w:p>
        </w:tc>
        <w:tc>
          <w:tcPr>
            <w:tcW w:type="dxa" w:w="5814"/>
          </w:tcPr>
          <w:p>
            <w:pPr>
              <w:pStyle w:val="null3"/>
              <w:jc w:val="left"/>
            </w:pPr>
            <w:r>
              <w:rPr>
                <w:sz w:val="21"/>
                <w:b/>
              </w:rPr>
              <w:t>委托项目完成时间要求</w:t>
            </w:r>
          </w:p>
          <w:p>
            <w:pPr>
              <w:pStyle w:val="null3"/>
              <w:ind w:firstLine="420"/>
              <w:jc w:val="left"/>
            </w:pPr>
            <w:r>
              <w:rPr>
                <w:sz w:val="21"/>
              </w:rPr>
              <w:t>审价时限一般参照以下的标准执行，其中审价时限分第一阶段完成时限和第二阶段完成时限两种情况。第一阶段完成时限是指中标人接受委托之日开始计算，到提交完整的评审初稿时间；第二阶段完成时限是指组织对数完成，项目评审资料完善之日开始计算，到提交正式完整的评审定案稿时间：</w:t>
            </w:r>
          </w:p>
          <w:tbl>
            <w:tblPr>
              <w:tblInd w:type="dxa" w:w="120"/>
              <w:tblBorders>
                <w:top w:val="none" w:color="000000" w:sz="4"/>
                <w:left w:val="none" w:color="000000" w:sz="4"/>
                <w:bottom w:val="none" w:color="000000" w:sz="4"/>
                <w:right w:val="none" w:color="000000" w:sz="4"/>
                <w:insideH w:val="none"/>
                <w:insideV w:val="none"/>
              </w:tblBorders>
            </w:tblPr>
            <w:tblGrid>
              <w:gridCol w:w="1325"/>
              <w:gridCol w:w="2666"/>
              <w:gridCol w:w="1606"/>
            </w:tblGrid>
            <w:tr>
              <w:tc>
                <w:tcPr>
                  <w:tcW w:type="dxa" w:w="1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服务类别</w:t>
                  </w:r>
                </w:p>
              </w:tc>
              <w:tc>
                <w:tcPr>
                  <w:tcW w:type="dxa" w:w="26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送审金额</w:t>
                  </w:r>
                </w:p>
              </w:tc>
              <w:tc>
                <w:tcPr>
                  <w:tcW w:type="dxa" w:w="16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完成时限</w:t>
                  </w:r>
                </w:p>
              </w:tc>
            </w:tr>
            <w:tr>
              <w:tc>
                <w:tcPr>
                  <w:tcW w:type="dxa" w:w="1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估算、概算、预算</w:t>
                  </w:r>
                </w:p>
              </w:tc>
              <w:tc>
                <w:tcPr>
                  <w:tcW w:type="dxa" w:w="2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100</w:t>
                  </w:r>
                  <w:r>
                    <w:rPr>
                      <w:sz w:val="21"/>
                    </w:rPr>
                    <w:t>万元至</w:t>
                  </w:r>
                  <w:r>
                    <w:rPr>
                      <w:sz w:val="21"/>
                    </w:rPr>
                    <w:t>400</w:t>
                  </w:r>
                  <w:r>
                    <w:rPr>
                      <w:sz w:val="21"/>
                    </w:rPr>
                    <w:t>万元</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r>
                    <w:rPr>
                      <w:sz w:val="21"/>
                    </w:rPr>
                    <w:t>个日历日</w:t>
                  </w:r>
                </w:p>
              </w:tc>
            </w:tr>
            <w:tr>
              <w:tc>
                <w:tcPr>
                  <w:tcW w:type="dxa" w:w="1325"/>
                  <w:vMerge/>
                  <w:tcBorders>
                    <w:top w:val="none" w:color="000000" w:sz="4"/>
                    <w:left w:val="single" w:color="000000" w:sz="4"/>
                    <w:bottom w:val="single" w:color="000000" w:sz="4"/>
                    <w:right w:val="single" w:color="000000" w:sz="4"/>
                  </w:tcBorders>
                </w:tcPr>
                <w:p/>
              </w:tc>
              <w:tc>
                <w:tcPr>
                  <w:tcW w:type="dxa" w:w="2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400</w:t>
                  </w:r>
                  <w:r>
                    <w:rPr>
                      <w:sz w:val="21"/>
                    </w:rPr>
                    <w:t>万元至</w:t>
                  </w:r>
                  <w:r>
                    <w:rPr>
                      <w:sz w:val="21"/>
                    </w:rPr>
                    <w:t>1000</w:t>
                  </w:r>
                  <w:r>
                    <w:rPr>
                      <w:sz w:val="21"/>
                    </w:rPr>
                    <w:t>万元</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r>
                    <w:rPr>
                      <w:sz w:val="21"/>
                    </w:rPr>
                    <w:t>个日历日</w:t>
                  </w:r>
                </w:p>
              </w:tc>
            </w:tr>
            <w:tr>
              <w:tc>
                <w:tcPr>
                  <w:tcW w:type="dxa" w:w="1325"/>
                  <w:vMerge/>
                  <w:tcBorders>
                    <w:top w:val="none" w:color="000000" w:sz="4"/>
                    <w:left w:val="single" w:color="000000" w:sz="4"/>
                    <w:bottom w:val="single" w:color="000000" w:sz="4"/>
                    <w:right w:val="single" w:color="000000" w:sz="4"/>
                  </w:tcBorders>
                </w:tcPr>
                <w:p/>
              </w:tc>
              <w:tc>
                <w:tcPr>
                  <w:tcW w:type="dxa" w:w="2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1000</w:t>
                  </w:r>
                  <w:r>
                    <w:rPr>
                      <w:sz w:val="21"/>
                    </w:rPr>
                    <w:t>万元至</w:t>
                  </w:r>
                  <w:r>
                    <w:rPr>
                      <w:sz w:val="21"/>
                    </w:rPr>
                    <w:t>5000</w:t>
                  </w:r>
                  <w:r>
                    <w:rPr>
                      <w:sz w:val="21"/>
                    </w:rPr>
                    <w:t>万元</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15</w:t>
                  </w:r>
                  <w:r>
                    <w:rPr>
                      <w:sz w:val="21"/>
                    </w:rPr>
                    <w:t>个日历日</w:t>
                  </w:r>
                </w:p>
              </w:tc>
            </w:tr>
            <w:tr>
              <w:tc>
                <w:tcPr>
                  <w:tcW w:type="dxa" w:w="1325"/>
                  <w:vMerge/>
                  <w:tcBorders>
                    <w:top w:val="none" w:color="000000" w:sz="4"/>
                    <w:left w:val="single" w:color="000000" w:sz="4"/>
                    <w:bottom w:val="single" w:color="000000" w:sz="4"/>
                    <w:right w:val="single" w:color="000000" w:sz="4"/>
                  </w:tcBorders>
                </w:tcPr>
                <w:p/>
              </w:tc>
              <w:tc>
                <w:tcPr>
                  <w:tcW w:type="dxa" w:w="2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5000</w:t>
                  </w:r>
                  <w:r>
                    <w:rPr>
                      <w:sz w:val="21"/>
                    </w:rPr>
                    <w:t>万元至</w:t>
                  </w:r>
                  <w:r>
                    <w:rPr>
                      <w:sz w:val="21"/>
                    </w:rPr>
                    <w:t>1</w:t>
                  </w:r>
                  <w:r>
                    <w:rPr>
                      <w:sz w:val="21"/>
                    </w:rPr>
                    <w:t>亿元以下</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w:t>
                  </w:r>
                  <w:r>
                    <w:rPr>
                      <w:sz w:val="21"/>
                    </w:rPr>
                    <w:t>个日历日</w:t>
                  </w:r>
                </w:p>
              </w:tc>
            </w:tr>
            <w:tr>
              <w:tc>
                <w:tcPr>
                  <w:tcW w:type="dxa" w:w="1325"/>
                  <w:vMerge/>
                  <w:tcBorders>
                    <w:top w:val="none" w:color="000000" w:sz="4"/>
                    <w:left w:val="single" w:color="000000" w:sz="4"/>
                    <w:bottom w:val="single" w:color="000000" w:sz="4"/>
                    <w:right w:val="single" w:color="000000" w:sz="4"/>
                  </w:tcBorders>
                </w:tcPr>
                <w:p/>
              </w:tc>
              <w:tc>
                <w:tcPr>
                  <w:tcW w:type="dxa" w:w="2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亿元以上</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35</w:t>
                  </w:r>
                  <w:r>
                    <w:rPr>
                      <w:sz w:val="21"/>
                    </w:rPr>
                    <w:t>个日历日</w:t>
                  </w:r>
                </w:p>
              </w:tc>
            </w:tr>
            <w:tr>
              <w:tc>
                <w:tcPr>
                  <w:tcW w:type="dxa" w:w="1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结算（变更）</w:t>
                  </w:r>
                </w:p>
              </w:tc>
              <w:tc>
                <w:tcPr>
                  <w:tcW w:type="dxa" w:w="2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100</w:t>
                  </w:r>
                  <w:r>
                    <w:rPr>
                      <w:sz w:val="21"/>
                    </w:rPr>
                    <w:t>万元以下</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r>
                    <w:rPr>
                      <w:sz w:val="21"/>
                    </w:rPr>
                    <w:t>个日历日</w:t>
                  </w:r>
                </w:p>
              </w:tc>
            </w:tr>
            <w:tr>
              <w:tc>
                <w:tcPr>
                  <w:tcW w:type="dxa" w:w="1325"/>
                  <w:vMerge/>
                  <w:tcBorders>
                    <w:top w:val="none" w:color="000000" w:sz="4"/>
                    <w:left w:val="single" w:color="000000" w:sz="4"/>
                    <w:bottom w:val="single" w:color="000000" w:sz="4"/>
                    <w:right w:val="single" w:color="000000" w:sz="4"/>
                  </w:tcBorders>
                </w:tcPr>
                <w:p/>
              </w:tc>
              <w:tc>
                <w:tcPr>
                  <w:tcW w:type="dxa" w:w="2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100</w:t>
                  </w:r>
                  <w:r>
                    <w:rPr>
                      <w:sz w:val="21"/>
                    </w:rPr>
                    <w:t>万元至</w:t>
                  </w:r>
                  <w:r>
                    <w:rPr>
                      <w:sz w:val="21"/>
                    </w:rPr>
                    <w:t>400</w:t>
                  </w:r>
                  <w:r>
                    <w:rPr>
                      <w:sz w:val="21"/>
                    </w:rPr>
                    <w:t>万元</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7</w:t>
                  </w:r>
                  <w:r>
                    <w:rPr>
                      <w:sz w:val="21"/>
                    </w:rPr>
                    <w:t>个日历日</w:t>
                  </w:r>
                </w:p>
              </w:tc>
            </w:tr>
            <w:tr>
              <w:tc>
                <w:tcPr>
                  <w:tcW w:type="dxa" w:w="1325"/>
                  <w:vMerge/>
                  <w:tcBorders>
                    <w:top w:val="none" w:color="000000" w:sz="4"/>
                    <w:left w:val="single" w:color="000000" w:sz="4"/>
                    <w:bottom w:val="single" w:color="000000" w:sz="4"/>
                    <w:right w:val="single" w:color="000000" w:sz="4"/>
                  </w:tcBorders>
                </w:tcPr>
                <w:p/>
              </w:tc>
              <w:tc>
                <w:tcPr>
                  <w:tcW w:type="dxa" w:w="2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400</w:t>
                  </w:r>
                  <w:r>
                    <w:rPr>
                      <w:sz w:val="21"/>
                    </w:rPr>
                    <w:t>万元至</w:t>
                  </w:r>
                  <w:r>
                    <w:rPr>
                      <w:sz w:val="21"/>
                    </w:rPr>
                    <w:t>1000</w:t>
                  </w:r>
                  <w:r>
                    <w:rPr>
                      <w:sz w:val="21"/>
                    </w:rPr>
                    <w:t>万元</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15</w:t>
                  </w:r>
                  <w:r>
                    <w:rPr>
                      <w:sz w:val="21"/>
                    </w:rPr>
                    <w:t>个日历日</w:t>
                  </w:r>
                </w:p>
              </w:tc>
            </w:tr>
            <w:tr>
              <w:tc>
                <w:tcPr>
                  <w:tcW w:type="dxa" w:w="1325"/>
                  <w:vMerge/>
                  <w:tcBorders>
                    <w:top w:val="none" w:color="000000" w:sz="4"/>
                    <w:left w:val="single" w:color="000000" w:sz="4"/>
                    <w:bottom w:val="single" w:color="000000" w:sz="4"/>
                    <w:right w:val="single" w:color="000000" w:sz="4"/>
                  </w:tcBorders>
                </w:tcPr>
                <w:p/>
              </w:tc>
              <w:tc>
                <w:tcPr>
                  <w:tcW w:type="dxa" w:w="2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1000</w:t>
                  </w:r>
                  <w:r>
                    <w:rPr>
                      <w:sz w:val="21"/>
                    </w:rPr>
                    <w:t>万元至</w:t>
                  </w:r>
                  <w:r>
                    <w:rPr>
                      <w:sz w:val="21"/>
                    </w:rPr>
                    <w:t>5000</w:t>
                  </w:r>
                  <w:r>
                    <w:rPr>
                      <w:sz w:val="21"/>
                    </w:rPr>
                    <w:t>万元</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w:t>
                  </w:r>
                  <w:r>
                    <w:rPr>
                      <w:sz w:val="21"/>
                    </w:rPr>
                    <w:t>个日历日</w:t>
                  </w:r>
                </w:p>
              </w:tc>
            </w:tr>
            <w:tr>
              <w:tc>
                <w:tcPr>
                  <w:tcW w:type="dxa" w:w="1325"/>
                  <w:vMerge/>
                  <w:tcBorders>
                    <w:top w:val="none" w:color="000000" w:sz="4"/>
                    <w:left w:val="single" w:color="000000" w:sz="4"/>
                    <w:bottom w:val="single" w:color="000000" w:sz="4"/>
                    <w:right w:val="single" w:color="000000" w:sz="4"/>
                  </w:tcBorders>
                </w:tcPr>
                <w:p/>
              </w:tc>
              <w:tc>
                <w:tcPr>
                  <w:tcW w:type="dxa" w:w="2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5000</w:t>
                  </w:r>
                  <w:r>
                    <w:rPr>
                      <w:sz w:val="21"/>
                    </w:rPr>
                    <w:t>万元至</w:t>
                  </w:r>
                  <w:r>
                    <w:rPr>
                      <w:sz w:val="21"/>
                    </w:rPr>
                    <w:t>1</w:t>
                  </w:r>
                  <w:r>
                    <w:rPr>
                      <w:sz w:val="21"/>
                    </w:rPr>
                    <w:t>亿元以下</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25</w:t>
                  </w:r>
                  <w:r>
                    <w:rPr>
                      <w:sz w:val="21"/>
                    </w:rPr>
                    <w:t>个日历日</w:t>
                  </w:r>
                </w:p>
              </w:tc>
            </w:tr>
            <w:tr>
              <w:tc>
                <w:tcPr>
                  <w:tcW w:type="dxa" w:w="1325"/>
                  <w:vMerge/>
                  <w:tcBorders>
                    <w:top w:val="none" w:color="000000" w:sz="4"/>
                    <w:left w:val="single" w:color="000000" w:sz="4"/>
                    <w:bottom w:val="single" w:color="000000" w:sz="4"/>
                    <w:right w:val="single" w:color="000000" w:sz="4"/>
                  </w:tcBorders>
                </w:tcPr>
                <w:p/>
              </w:tc>
              <w:tc>
                <w:tcPr>
                  <w:tcW w:type="dxa" w:w="2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亿元以上</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50</w:t>
                  </w:r>
                  <w:r>
                    <w:rPr>
                      <w:sz w:val="21"/>
                    </w:rPr>
                    <w:t>个日历日</w:t>
                  </w:r>
                </w:p>
              </w:tc>
            </w:tr>
            <w:tr>
              <w:tc>
                <w:tcPr>
                  <w:tcW w:type="dxa" w:w="559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备注：下限包含本数，上限不包含本数。</w:t>
                  </w:r>
                </w:p>
              </w:tc>
            </w:tr>
          </w:tbl>
          <w:p>
            <w:pPr>
              <w:pStyle w:val="null3"/>
              <w:jc w:val="both"/>
            </w:pPr>
            <w:r>
              <w:rPr>
                <w:sz w:val="21"/>
              </w:rPr>
              <w:t>以上为完成时限的一般标准。具体每项工程的完成时间，除特殊紧急情况外，以委托协议书规定的完成时限为准。</w:t>
            </w:r>
          </w:p>
        </w:tc>
      </w:tr>
      <w:tr>
        <w:tc>
          <w:tcPr>
            <w:tcW w:type="dxa" w:w="2076"/>
          </w:tcPr>
          <w:p>
            <w:pPr>
              <w:pStyle w:val="null3"/>
            </w:pPr>
            <w:r>
              <w:rPr/>
              <w:t>★</w:t>
            </w:r>
          </w:p>
        </w:tc>
        <w:tc>
          <w:tcPr>
            <w:tcW w:type="dxa" w:w="415"/>
          </w:tcPr>
          <w:p>
            <w:pPr>
              <w:pStyle w:val="null3"/>
            </w:pPr>
            <w:r>
              <w:rPr/>
              <w:t>7</w:t>
            </w:r>
          </w:p>
        </w:tc>
        <w:tc>
          <w:tcPr>
            <w:tcW w:type="dxa" w:w="5814"/>
          </w:tcPr>
          <w:p>
            <w:pPr>
              <w:pStyle w:val="null3"/>
              <w:jc w:val="both"/>
            </w:pPr>
            <w:r>
              <w:rPr>
                <w:sz w:val="21"/>
                <w:b/>
              </w:rPr>
              <w:t>服务质量考核</w:t>
            </w:r>
          </w:p>
          <w:p>
            <w:pPr>
              <w:pStyle w:val="null3"/>
              <w:jc w:val="both"/>
            </w:pPr>
            <w:r>
              <w:rPr>
                <w:sz w:val="21"/>
              </w:rPr>
              <w:t>（一）采购人对中标人参与的每一个评审项目的审核质量、服务质量情况等进行考核评分（考核标准详见《服务质量评价表》），评价总分</w:t>
            </w:r>
            <w:r>
              <w:rPr>
                <w:sz w:val="21"/>
              </w:rPr>
              <w:t>70</w:t>
            </w:r>
            <w:r>
              <w:rPr>
                <w:sz w:val="21"/>
              </w:rPr>
              <w:t>分以上为合格。如中标人一年累计两个评审项目评价总分低于</w:t>
            </w:r>
            <w:r>
              <w:rPr>
                <w:sz w:val="21"/>
              </w:rPr>
              <w:t>70</w:t>
            </w:r>
            <w:r>
              <w:rPr>
                <w:sz w:val="21"/>
              </w:rPr>
              <w:t>分，采购人有权单方中止服务合同。</w:t>
            </w:r>
          </w:p>
          <w:p>
            <w:pPr>
              <w:pStyle w:val="null3"/>
              <w:jc w:val="both"/>
            </w:pPr>
            <w:r>
              <w:rPr>
                <w:sz w:val="21"/>
              </w:rPr>
              <w:t>（二）每个评审项目的考核工作在项目评审完成并出具评审报告时随即进行，考核结果由该项目的中标人盖章确认。中标人对考核结果有疑义的，可以自收到考核结果之日</w:t>
            </w:r>
            <w:r>
              <w:rPr>
                <w:sz w:val="21"/>
              </w:rPr>
              <w:t>3</w:t>
            </w:r>
            <w:r>
              <w:rPr>
                <w:sz w:val="21"/>
              </w:rPr>
              <w:t>个工作日内，向采购人提出书面申诉。若被考核项目的中标人在接到考核结果后</w:t>
            </w:r>
            <w:r>
              <w:rPr>
                <w:sz w:val="21"/>
              </w:rPr>
              <w:t>3</w:t>
            </w:r>
            <w:r>
              <w:rPr>
                <w:sz w:val="21"/>
              </w:rPr>
              <w:t>个工作日内未提出意见或盖章的，则视为同意考核结果；若中标人对考核结果有不同意见的，应与采购人核对，核对三次仍无法统一意见的，以最后一次核对结果作为最终考核结论。</w:t>
            </w:r>
          </w:p>
          <w:tbl>
            <w:tblPr>
              <w:tblInd w:type="dxa" w:w="105"/>
              <w:tblBorders>
                <w:top w:val="none" w:color="000000" w:sz="4"/>
                <w:left w:val="none" w:color="000000" w:sz="4"/>
                <w:bottom w:val="none" w:color="000000" w:sz="4"/>
                <w:right w:val="none" w:color="000000" w:sz="4"/>
                <w:insideH w:val="none"/>
                <w:insideV w:val="none"/>
              </w:tblBorders>
            </w:tblPr>
            <w:tblGrid>
              <w:gridCol w:w="942"/>
              <w:gridCol w:w="1459"/>
              <w:gridCol w:w="956"/>
              <w:gridCol w:w="896"/>
              <w:gridCol w:w="826"/>
              <w:gridCol w:w="520"/>
            </w:tblGrid>
            <w:tr>
              <w:tc>
                <w:tcPr>
                  <w:tcW w:type="dxa" w:w="5599"/>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b/>
                      <w:color w:val="000000"/>
                    </w:rPr>
                    <w:t>服务质量评价表</w:t>
                  </w:r>
                </w:p>
              </w:tc>
            </w:tr>
            <w:tr>
              <w:tc>
                <w:tcPr>
                  <w:tcW w:type="dxa" w:w="9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项目名称</w:t>
                  </w:r>
                </w:p>
              </w:tc>
              <w:tc>
                <w:tcPr>
                  <w:tcW w:type="dxa" w:w="4657"/>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受评单位</w:t>
                  </w:r>
                </w:p>
              </w:tc>
              <w:tc>
                <w:tcPr>
                  <w:tcW w:type="dxa" w:w="14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服务内容</w:t>
                  </w:r>
                </w:p>
              </w:tc>
              <w:tc>
                <w:tcPr>
                  <w:tcW w:type="dxa" w:w="2242"/>
                  <w:gridSpan w:val="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color w:val="000000"/>
                    </w:rPr>
                    <w:t>口审核工程量清单</w:t>
                  </w:r>
                </w:p>
              </w:tc>
            </w:tr>
            <w:tr>
              <w:tc>
                <w:tcPr>
                  <w:tcW w:type="dxa" w:w="942"/>
                  <w:vMerge/>
                  <w:tcBorders>
                    <w:top w:val="none" w:color="000000" w:sz="4"/>
                    <w:left w:val="single" w:color="000000" w:sz="4"/>
                    <w:bottom w:val="single" w:color="000000" w:sz="4"/>
                    <w:right w:val="single" w:color="000000" w:sz="4"/>
                  </w:tcBorders>
                </w:tcPr>
                <w:p/>
              </w:tc>
              <w:tc>
                <w:tcPr>
                  <w:tcW w:type="dxa" w:w="1459"/>
                  <w:vMerge/>
                  <w:tcBorders>
                    <w:top w:val="none" w:color="000000" w:sz="4"/>
                    <w:left w:val="none" w:color="000000" w:sz="4"/>
                    <w:bottom w:val="single" w:color="000000" w:sz="4"/>
                    <w:right w:val="single" w:color="000000" w:sz="4"/>
                  </w:tcBorders>
                </w:tcPr>
                <w:p/>
              </w:tc>
              <w:tc>
                <w:tcPr>
                  <w:tcW w:type="dxa" w:w="956"/>
                  <w:vMerge/>
                  <w:tcBorders>
                    <w:top w:val="single" w:color="000000" w:sz="4"/>
                    <w:left w:val="none" w:color="000000" w:sz="4"/>
                    <w:bottom w:val="single" w:color="000000" w:sz="4"/>
                    <w:right w:val="single" w:color="000000" w:sz="4"/>
                  </w:tcBorders>
                </w:tcPr>
                <w:p/>
              </w:tc>
              <w:tc>
                <w:tcPr>
                  <w:tcW w:type="dxa" w:w="2242"/>
                  <w:gridSpan w:val="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color w:val="000000"/>
                    </w:rPr>
                    <w:t>口审核招标控制价（标底、预算价）</w:t>
                  </w:r>
                </w:p>
              </w:tc>
            </w:tr>
            <w:tr>
              <w:tc>
                <w:tcPr>
                  <w:tcW w:type="dxa" w:w="942"/>
                  <w:vMerge/>
                  <w:tcBorders>
                    <w:top w:val="none" w:color="000000" w:sz="4"/>
                    <w:left w:val="single" w:color="000000" w:sz="4"/>
                    <w:bottom w:val="single" w:color="000000" w:sz="4"/>
                    <w:right w:val="single" w:color="000000" w:sz="4"/>
                  </w:tcBorders>
                </w:tcPr>
                <w:p/>
              </w:tc>
              <w:tc>
                <w:tcPr>
                  <w:tcW w:type="dxa" w:w="1459"/>
                  <w:vMerge/>
                  <w:tcBorders>
                    <w:top w:val="none" w:color="000000" w:sz="4"/>
                    <w:left w:val="none" w:color="000000" w:sz="4"/>
                    <w:bottom w:val="single" w:color="000000" w:sz="4"/>
                    <w:right w:val="single" w:color="000000" w:sz="4"/>
                  </w:tcBorders>
                </w:tcPr>
                <w:p/>
              </w:tc>
              <w:tc>
                <w:tcPr>
                  <w:tcW w:type="dxa" w:w="956"/>
                  <w:vMerge/>
                  <w:tcBorders>
                    <w:top w:val="single" w:color="000000" w:sz="4"/>
                    <w:left w:val="none" w:color="000000" w:sz="4"/>
                    <w:bottom w:val="single" w:color="000000" w:sz="4"/>
                    <w:right w:val="single" w:color="000000" w:sz="4"/>
                  </w:tcBorders>
                </w:tcPr>
                <w:p/>
              </w:tc>
              <w:tc>
                <w:tcPr>
                  <w:tcW w:type="dxa" w:w="224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口审核结算</w:t>
                  </w:r>
                  <w:r>
                    <w:rPr>
                      <w:sz w:val="21"/>
                      <w:color w:val="000000"/>
                    </w:rPr>
                    <w:t xml:space="preserve">   </w:t>
                  </w:r>
                  <w:r>
                    <w:rPr>
                      <w:sz w:val="21"/>
                      <w:color w:val="000000"/>
                    </w:rPr>
                    <w:t>口其他业务</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评价人</w:t>
                  </w:r>
                </w:p>
              </w:tc>
              <w:tc>
                <w:tcPr>
                  <w:tcW w:type="dxa" w:w="24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电话</w:t>
                  </w:r>
                </w:p>
              </w:tc>
              <w:tc>
                <w:tcPr>
                  <w:tcW w:type="dxa" w:w="134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评价内容</w:t>
                  </w:r>
                </w:p>
              </w:tc>
              <w:tc>
                <w:tcPr>
                  <w:tcW w:type="dxa" w:w="134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评价及得分</w:t>
                  </w:r>
                </w:p>
              </w:tc>
            </w:tr>
            <w:tr>
              <w:tc>
                <w:tcPr>
                  <w:tcW w:type="dxa" w:w="9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（一）咨询合同履约情况</w:t>
                  </w:r>
                </w:p>
              </w:tc>
              <w:tc>
                <w:tcPr>
                  <w:tcW w:type="dxa" w:w="331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签有规范完整的咨询合同，合同双方的权利义务明确；按时、按质完成委托任务；在履约过程中，提出并实施了积极的、科学合理的措施，保证了咨询合同的有效实施。</w:t>
                  </w:r>
                </w:p>
              </w:tc>
              <w:tc>
                <w:tcPr>
                  <w:tcW w:type="dxa" w:w="8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优良</w:t>
                  </w:r>
                  <w:r>
                    <w:rPr>
                      <w:sz w:val="21"/>
                      <w:color w:val="000000"/>
                    </w:rPr>
                    <w:t>4-5分</w:t>
                  </w:r>
                </w:p>
              </w:tc>
              <w:tc>
                <w:tcPr>
                  <w:tcW w:type="dxa" w:w="5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42"/>
                  <w:vMerge/>
                  <w:tcBorders>
                    <w:top w:val="none" w:color="000000" w:sz="4"/>
                    <w:left w:val="single" w:color="000000" w:sz="4"/>
                    <w:bottom w:val="single" w:color="000000" w:sz="4"/>
                    <w:right w:val="single" w:color="000000" w:sz="4"/>
                  </w:tcBorders>
                </w:tcPr>
                <w:p/>
              </w:tc>
              <w:tc>
                <w:tcPr>
                  <w:tcW w:type="dxa" w:w="331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签有书面咨询合同；基本按合同要求完成委托任务。</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w:t>
                  </w:r>
                  <w:r>
                    <w:rPr>
                      <w:sz w:val="21"/>
                      <w:color w:val="000000"/>
                    </w:rPr>
                    <w:t>3-4分</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42"/>
                  <w:vMerge/>
                  <w:tcBorders>
                    <w:top w:val="none" w:color="000000" w:sz="4"/>
                    <w:left w:val="single" w:color="000000" w:sz="4"/>
                    <w:bottom w:val="single" w:color="000000" w:sz="4"/>
                    <w:right w:val="single" w:color="000000" w:sz="4"/>
                  </w:tcBorders>
                </w:tcPr>
                <w:p/>
              </w:tc>
              <w:tc>
                <w:tcPr>
                  <w:tcW w:type="dxa" w:w="331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无书面委托合同；未能按合同或委托人要求完成咨询任务</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差</w:t>
                  </w:r>
                  <w:r>
                    <w:rPr>
                      <w:sz w:val="21"/>
                      <w:color w:val="000000"/>
                    </w:rPr>
                    <w:t>0-3分</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（二）咨询成果文件质量</w:t>
                  </w:r>
                </w:p>
              </w:tc>
              <w:tc>
                <w:tcPr>
                  <w:tcW w:type="dxa" w:w="331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咨询成果文件的内容和深度满足使用者要求，且保证了相关工作的顺利实施。</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优良</w:t>
                  </w:r>
                  <w:r>
                    <w:rPr>
                      <w:sz w:val="21"/>
                      <w:color w:val="000000"/>
                    </w:rPr>
                    <w:t>4-5分</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42"/>
                  <w:vMerge/>
                  <w:tcBorders>
                    <w:top w:val="none" w:color="000000" w:sz="4"/>
                    <w:left w:val="single" w:color="000000" w:sz="4"/>
                    <w:bottom w:val="single" w:color="000000" w:sz="4"/>
                    <w:right w:val="single" w:color="000000" w:sz="4"/>
                  </w:tcBorders>
                </w:tcPr>
                <w:p/>
              </w:tc>
              <w:tc>
                <w:tcPr>
                  <w:tcW w:type="dxa" w:w="331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咨询成果文件内容基本完整，深度基本符合要求：有少量错漏，但不影响相关工作的顺利实施。</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w:t>
                  </w:r>
                  <w:r>
                    <w:rPr>
                      <w:sz w:val="21"/>
                      <w:color w:val="000000"/>
                    </w:rPr>
                    <w:t>3-4分</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42"/>
                  <w:vMerge/>
                  <w:tcBorders>
                    <w:top w:val="none" w:color="000000" w:sz="4"/>
                    <w:left w:val="single" w:color="000000" w:sz="4"/>
                    <w:bottom w:val="single" w:color="000000" w:sz="4"/>
                    <w:right w:val="single" w:color="000000" w:sz="4"/>
                  </w:tcBorders>
                </w:tcPr>
                <w:p/>
              </w:tc>
              <w:tc>
                <w:tcPr>
                  <w:tcW w:type="dxa" w:w="331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咨询成果内容不完整，深度未能满足委托人要求。</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差</w:t>
                  </w:r>
                  <w:r>
                    <w:rPr>
                      <w:sz w:val="21"/>
                      <w:color w:val="000000"/>
                    </w:rPr>
                    <w:t>0-3分</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（三）管理能力与规范服务</w:t>
                  </w:r>
                </w:p>
              </w:tc>
              <w:tc>
                <w:tcPr>
                  <w:tcW w:type="dxa" w:w="331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咨询项目有完整的实施计划，且措施得力；设有专职项目负责人；全过程服务及时、耐心，态度端正。</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优良</w:t>
                  </w:r>
                  <w:r>
                    <w:rPr>
                      <w:sz w:val="21"/>
                      <w:color w:val="000000"/>
                    </w:rPr>
                    <w:t>4-5分</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42"/>
                  <w:vMerge/>
                  <w:tcBorders>
                    <w:top w:val="none" w:color="000000" w:sz="4"/>
                    <w:left w:val="single" w:color="000000" w:sz="4"/>
                    <w:bottom w:val="single" w:color="000000" w:sz="4"/>
                    <w:right w:val="single" w:color="000000" w:sz="4"/>
                  </w:tcBorders>
                </w:tcPr>
                <w:p/>
              </w:tc>
              <w:tc>
                <w:tcPr>
                  <w:tcW w:type="dxa" w:w="331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咨询项目有相应的实施计划；设有专职项目负责人；提供全过程服务。</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w:t>
                  </w:r>
                  <w:r>
                    <w:rPr>
                      <w:sz w:val="21"/>
                      <w:color w:val="000000"/>
                    </w:rPr>
                    <w:t>3-4分</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42"/>
                  <w:vMerge/>
                  <w:tcBorders>
                    <w:top w:val="none" w:color="000000" w:sz="4"/>
                    <w:left w:val="single" w:color="000000" w:sz="4"/>
                    <w:bottom w:val="single" w:color="000000" w:sz="4"/>
                    <w:right w:val="single" w:color="000000" w:sz="4"/>
                  </w:tcBorders>
                </w:tcPr>
                <w:p/>
              </w:tc>
              <w:tc>
                <w:tcPr>
                  <w:tcW w:type="dxa" w:w="331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咨询项目无实施计划；无全程服务或服务质量差。</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差</w:t>
                  </w:r>
                  <w:r>
                    <w:rPr>
                      <w:sz w:val="21"/>
                      <w:color w:val="000000"/>
                    </w:rPr>
                    <w:t>0-3分</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4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（四）职业道德</w:t>
                  </w:r>
                </w:p>
              </w:tc>
              <w:tc>
                <w:tcPr>
                  <w:tcW w:type="dxa" w:w="331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严格遵守执业行为准则、职业道德准则；以质量、信誉参与市场竞争；坚持实事求是，为委托人的合法利益精心服务；严格保守执业中知悉的技术和商务秘密；同业互助，共同维护和促进本行业的职业道德和信誉。</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优良</w:t>
                  </w:r>
                  <w:r>
                    <w:rPr>
                      <w:sz w:val="21"/>
                      <w:color w:val="000000"/>
                    </w:rPr>
                    <w:t>4-5分</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42"/>
                  <w:vMerge/>
                  <w:tcBorders>
                    <w:top w:val="none" w:color="000000" w:sz="4"/>
                    <w:left w:val="single" w:color="000000" w:sz="4"/>
                    <w:bottom w:val="none" w:color="000000" w:sz="4"/>
                    <w:right w:val="single" w:color="000000" w:sz="4"/>
                  </w:tcBorders>
                </w:tcPr>
                <w:p/>
              </w:tc>
              <w:tc>
                <w:tcPr>
                  <w:tcW w:type="dxa" w:w="331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遵守执业行为准则、职业道德准则：认真按为客户服务。</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w:t>
                  </w:r>
                  <w:r>
                    <w:rPr>
                      <w:sz w:val="21"/>
                      <w:color w:val="000000"/>
                    </w:rPr>
                    <w:t>3-4分</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42"/>
                  <w:vMerge/>
                  <w:tcBorders>
                    <w:top w:val="none" w:color="000000" w:sz="4"/>
                    <w:left w:val="single" w:color="000000" w:sz="4"/>
                    <w:bottom w:val="none" w:color="000000" w:sz="4"/>
                    <w:right w:val="single" w:color="000000" w:sz="4"/>
                  </w:tcBorders>
                </w:tcPr>
                <w:p/>
              </w:tc>
              <w:tc>
                <w:tcPr>
                  <w:tcW w:type="dxa" w:w="331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违反执业行为准则、职业道德准则；以不正当的方式参与竞争：故意损害同行的声誉；未经客户允许，泄漏客户的技术和商业秘密。</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差</w:t>
                  </w:r>
                  <w:r>
                    <w:rPr>
                      <w:sz w:val="21"/>
                      <w:color w:val="000000"/>
                    </w:rPr>
                    <w:t>0-3分</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各项评分合计</w:t>
                  </w:r>
                </w:p>
              </w:tc>
              <w:tc>
                <w:tcPr>
                  <w:tcW w:type="dxa" w:w="134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评价总分（各项评分合计得分除以评价项数，再乘以</w:t>
                  </w:r>
                  <w:r>
                    <w:rPr>
                      <w:sz w:val="21"/>
                      <w:color w:val="000000"/>
                    </w:rPr>
                    <w:t>20）</w:t>
                  </w:r>
                </w:p>
              </w:tc>
              <w:tc>
                <w:tcPr>
                  <w:tcW w:type="dxa" w:w="134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53"/>
                  <w:gridSpan w:val="4"/>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color w:val="000000"/>
                    </w:rPr>
                    <w:t>评价单位（公章）：</w:t>
                  </w:r>
                </w:p>
              </w:tc>
              <w:tc>
                <w:tcPr>
                  <w:tcW w:type="dxa" w:w="1346"/>
                  <w:gridSpan w:val="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color w:val="000000"/>
                    </w:rPr>
                    <w:t>评价单位负责人：</w:t>
                  </w: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r>
                    <w:rPr>
                      <w:sz w:val="21"/>
                      <w:color w:val="000000"/>
                    </w:rPr>
                    <w:t xml:space="preserve">   </w:t>
                  </w:r>
                </w:p>
              </w:tc>
            </w:tr>
            <w:tr>
              <w:tc>
                <w:tcPr>
                  <w:tcW w:type="dxa" w:w="5599"/>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color w:val="000000"/>
                    </w:rPr>
                    <w:t>此表用于采购人对中标人的服务质量满意度的评价，每个评价项目都分为三级，分数确定：优良为</w:t>
                  </w:r>
                  <w:r>
                    <w:rPr>
                      <w:sz w:val="21"/>
                      <w:color w:val="000000"/>
                    </w:rPr>
                    <w:t>4-5分；一般为3-4分；差为0-3分，由评价人自主确定。总体评价得分由五分制换算为百分制。</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采购包3（2025-2026年杏坛镇工程造价评审服务项目（包组3））</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★合同金额达到采购预算金额或自合同签订之日起至2026年12月31日止，以先到达的为准。</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付款方式：1.每项审核服务业务须另行签订委托合同，审核费按半年度结算，中标人向采购人提交支付申请，经采购人核对无误后，中标人向采购人提交合法、有效的发票，由采购人按程序办理拨付。 2.费用标准：中标折扣率×按计费标准计算的费用—扣罚费用（如有）。 3.计费标准：见附件《杏坛镇财政资金投资评审工程造价咨询服务收费项目和收费标准表》，具体计算方法按招标文件和协议书的约定执行。 4.合同执行过程中，如采购人根据上级文件精神或工作实际，对计费标准及付费方式进行调整，中标人有权根据企业自身情况作出继续接受委托或退出委托的选择，此时如中标人选择退出，采购人将不作任何补偿。</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1期：★验收要求：1.中标人须为验收提供必需的一切条件。2.项目验收依次序对照执行标准 ：（1）符合中华人民共和国国家和履约地相关安全质量标准、行业技术规范标准、环保节能标准；（2）符合招标文件和投标承诺中各方共同认可的各项要求；（3）上述各类标准与法规必须是有关官方机构最新发布的现行标准版本。</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★付款方式补充，1.中标人凭以下有效文件进行结算： （1）合同； （2）正式等额合法有效发票，收款方、出具发票方、合同乙方均必须与中标人名称一致；（3）中标通知书；（4）请款函。 2.付款期间如因特殊情况需调整，由双方协商处理。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（一）本项目以折扣率报价。折扣率数值最多精确到小数点后两位，报价范围为：0%＜折扣率≤100%。 （二）投标报价包含但不限于以下费用：完成本项目所有工作内容的成本费、劳务费、交通费、场地费、采购代理费用、成果文件费用、税金（全额含税发票）、雇员费用以及项目实施过程中其它应预见和不可预见费用等完成本采购项目、达到采购人目的的一切费用及企业利润。 （三）投标人必须自行考虑在本项目实施期间的一切可能产生的费用，在项目的实施过程中，采购人除了支付合同付款方式中规定的款项外，一切合同规定外的费用将拒绝支付。</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成果文件要求</w:t>
            </w:r>
          </w:p>
        </w:tc>
        <w:tc>
          <w:tcPr>
            <w:tcW w:type="dxa" w:w="2076"/>
          </w:tcPr>
          <w:p>
            <w:pPr>
              <w:pStyle w:val="null3"/>
              <w:jc w:val="left"/>
            </w:pPr>
            <w:r>
              <w:rPr/>
              <w:t>（一）过程的审核痕迹资料。包括审核过程发现的问题与处理意见，与建设单位、建设单位委托的中介单位、施工单位在协调、取证、对数等过程中提出的问题及处理意见。 （二）对于技术交底各项要求的响应。 （三）审核结果与报送结果差异的分析。应把差异的每项内容列举，并简要分析。 （四）工程主要指标分析。 （五）工程量复核计算稿。 （六）现场勘察的照片。 （七）按委托人要求提交成果资料。</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违约责任</w:t>
            </w:r>
          </w:p>
        </w:tc>
        <w:tc>
          <w:tcPr>
            <w:tcW w:type="dxa" w:w="2076"/>
          </w:tcPr>
          <w:p>
            <w:pPr>
              <w:pStyle w:val="null3"/>
              <w:jc w:val="left"/>
            </w:pPr>
            <w:r>
              <w:rPr/>
              <w:t>对中标人出现审核质量问题、审核超时、违反程序和泄密等违约行为的，采购人有权对违约中标人按委托协议进行警告、减少委托任务、扣减委托费、解除委托，并对其所造成的经济损失和法律纠纷依法追究经济和法律责任。 （一）对出现审核质量问题的处罚。为实施对审价结果准确性的监督，采购人有权委托有关部门、其他审价机构对中标人的编审结果进行复审，如经复审发现中标人的编审结果与复核结果存在差异且偏差率i超过以下情况的（其中i=(审价机构审核金额-经确认的复核金额)/经确认的复核金额），且证实是中标人审核结果存在问题的，对相应的中标人作出如下的处理： 1、︱i︱≦10%内（︱i︱为i的数学绝对值），对负责审价的中标人进行口头或书面警告处理。但子项偏差超过50万元以上的项目，每出现一次按扣减委托费的5%处理，累计扣减不超过委托费的10%。 2、10%＜︱i︱≦20%的，扣减委托费的20%。 3、20%＜︱i︱≦30%的，扣减委托费的30%， 4、︱i︱＞30%，扣减委托费的100%，若在协议期内，出现两次上述情况，则终止委托协议关系。 5、出错情节特别严重的，可作出减少委托任务或提出取消其委托合作关系的处理。 6、对已拨付委托费但事后需要抽查或审计的项目，若负责审价的中标人提供的审核结果有问题需扣减相应委托费的，在该中标人今后实施的项目委托费中抵扣。 （二）逾期的处罚。建设单位报送资料齐全，因审价的中标人自身因素，未能按约定的时间提交初稿和定案稿进行复核和对复审意见处理不及时的，按如下规定处理： 1、逾期5个工作日内的，扣减委托费的20%。 2、逾期超过5个工作日又未达到10个工作日的，扣减委托费的50%。 3、逾期超过10个工作日，扣减委托费的100%，并终止委托协议关系。 （三）中标人不按协议完成委托业务、审核中出现严重错误或发生与委托业务相抵触的行为，除中标人与委托项目有利害关系需回避外，对在协议期间拒绝接受分配任务的中标人，采购人有权终止该中标人的服务合同，追究其相关的法律和经济责任，所造成的一切损失由其负责。 （四）实行廉政建设一票否决制。委托服务期间，采购人若发现中标人或中标人审核人员有弄虚作假、玩忽职守、徇私舞弊等违规违纪现象，或与施工、设计、监理和编制等单位串通，违反诚实信用和投标承诺等，以谋取非法利益或损害政府利益的，一经采购人查实，采购人有权对违约中标人按委托协议约定进行警告、扣减委托费、减少委托任务、解除委托和不得参与采购人下一次相同项目投标等处罚，并对其所造成的经济损失和法律纠纷依法追究经济和法律责任。 （五）对拒绝接受采购人监督检查和管理的中标人，采购人有权解除合同。 （六）中标人必须独立完成采购人委托的评审任务，不得将评审业务转让给第三方实施。采购人若发现中标人将采购人委托的评审业务转让给第三方实施的，一经证实，采购人有权对违约中标人按委托协议约定解除委托，并对其所造成的经济损失和法律纠纷依法追究经济和法律责任。 （七）因中标人原因导致项目评审结论不实，引起诉讼和纠纷的，该中标人除承担相关责任外，采购人还将根据情节的严重程度对此中标人作出通报批评、扣减评审费用、停止委托新的评审任务和解除委托服务协议书等处罚。 （八）对中标人出现的其他严重违法违规行为，采购人有权终止该中标人的审核活动，追究其相关的法律和经济责任，所造成的一切损失由其负责。 （九）清退规则 服务期内，中标人出现下列情况，所涉及项目未支付的委托费用不再支付、已委托尚未开展的新项目解除委托、即时取消本项目服务资格；若发生经济损失或涉及法律纠纷，委托人将依法追究相关单位及人员的经济和法律责任： 1、无正当理由逾期 10个工作日以上不能按评审任务通知书及技术交底提交造价成果的。 2、中标人及审核人员工作出现重大过失，引起诉讼或纠纷，给评审工作造成损失或严重后果的。 3、违反诚信及廉政建设要求的：中标人及其相关人员有徇私舞弊；违反国家、省及财政部门有关保密规定，泄露评审时知悉的国家机密和商业秘密；未经业务委托的相关部门同意，向项目以外的其他单位或个人披露评审项目的有关信息，对外提供、泄露或公开评审有关情况；与建设、施工、设计、监理、其他中介咨询单位等串通，违反诚实信用和投标承诺，谋取非法利益或损害政府利益的。 4、在委托业务审核过程中，与委托项目有利害关系应回避而未回避的。 5、服务期内，非应回避的原因拒绝接受委托任务达到二次的。 6、违反投标文件中关于到现场服务时间的承诺达到二次的。 7、将委托的评审业务转让给第三方实施的。 8、拒绝接受采购人监督检查和管理的。 9、清查中发现人员配备情况与中标承诺不符，在委托人规定时限内未完成整改的。 10、出现信用危机、财务危机、生产经营危机，甚至破产无法继续履行合同的。</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保密要求</w:t>
            </w:r>
          </w:p>
        </w:tc>
        <w:tc>
          <w:tcPr>
            <w:tcW w:type="dxa" w:w="2076"/>
          </w:tcPr>
          <w:p>
            <w:pPr>
              <w:pStyle w:val="null3"/>
              <w:jc w:val="left"/>
            </w:pPr>
            <w:r>
              <w:rPr/>
              <w:t>（一）中标人应严格遵守采购人提出的各项规章制度和廉政纪律要求。 （二）为实施对中标人编审结果准确性的监督，采购人有权委托有关部门、其他中标人或由采购人对中标人的编审结果进行抽样复核、审查。对项目评审工作底稿等内容，采购人将随时随机进行抽查。中标人必须无条件配合采购人做好复审、复核和考核工作。 （三）中标人不得再接受除采购人外的其他委托人对同一项目服务委托，即不能就同一项目既接受财政部门的委托，又接受项目发包、承包单位等相对利益关系人的委托。 （四）与委托项目有厉害关系的，中标人须主动向采购人提出回避，可能对项目评审结论产生影响的，应当主动向采购人报告并进行回避。 （五）中标人对采购人委托的评审项目的有关资料、信息、报告及结论须承担保密责任，并对因泄密造成的后果负经济和法律责任。未经采购人许可，不得将上述情况泄露和提供给他人。</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其他咨询服务</w:t>
            </w:r>
          </w:p>
        </w:tc>
        <w:tc>
          <w:tcPr>
            <w:tcW w:type="dxa" w:w="831"/>
          </w:tcPr>
          <w:p>
            <w:pPr>
              <w:pStyle w:val="null3"/>
              <w:jc w:val="left"/>
            </w:pPr>
            <w:r>
              <w:rPr/>
              <w:t>2025-2026年杏坛镇工程造价评审服务项目（包组3）</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650,000.00</w:t>
            </w:r>
          </w:p>
        </w:tc>
        <w:tc>
          <w:tcPr>
            <w:tcW w:type="dxa" w:w="831"/>
          </w:tcPr>
          <w:p>
            <w:pPr>
              <w:pStyle w:val="null3"/>
              <w:jc w:val="right"/>
            </w:pPr>
            <w:r>
              <w:rPr/>
              <w:t>650,000.00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2025-2026年杏坛镇工程造价评审服务项目（包组3）</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服务内容</w:t>
            </w:r>
          </w:p>
          <w:p>
            <w:pPr>
              <w:pStyle w:val="null3"/>
              <w:jc w:val="both"/>
            </w:pPr>
            <w:r>
              <w:rPr>
                <w:sz w:val="21"/>
              </w:rPr>
              <w:t>为加强财政投资工程预结算评审工作的管理，提高评审审核质量和效率，结合工作实际，按公开、公平、公正的原则，对评审机构进行招标，择优确定高素质、高质量和高效率的评审机构参与采购人委托的工程预结算审核工作，具体的评审工作按采购人的规章制度或文件要求开展。</w:t>
            </w:r>
          </w:p>
        </w:tc>
      </w:tr>
      <w:tr>
        <w:tc>
          <w:tcPr>
            <w:tcW w:type="dxa" w:w="2076"/>
          </w:tcPr>
          <w:p/>
        </w:tc>
        <w:tc>
          <w:tcPr>
            <w:tcW w:type="dxa" w:w="415"/>
          </w:tcPr>
          <w:p>
            <w:pPr>
              <w:pStyle w:val="null3"/>
            </w:pPr>
            <w:r>
              <w:rPr/>
              <w:t>2</w:t>
            </w:r>
          </w:p>
        </w:tc>
        <w:tc>
          <w:tcPr>
            <w:tcW w:type="dxa" w:w="5814"/>
          </w:tcPr>
          <w:p>
            <w:pPr>
              <w:pStyle w:val="null3"/>
              <w:jc w:val="both"/>
            </w:pPr>
            <w:r>
              <w:rPr>
                <w:sz w:val="21"/>
                <w:b/>
              </w:rPr>
              <w:t>服务范围及要求</w:t>
            </w:r>
          </w:p>
          <w:p>
            <w:pPr>
              <w:pStyle w:val="null3"/>
              <w:jc w:val="both"/>
            </w:pPr>
            <w:r>
              <w:rPr>
                <w:sz w:val="21"/>
              </w:rPr>
              <w:t>（一）杏坛镇范围内使用</w:t>
            </w:r>
            <w:r>
              <w:rPr>
                <w:sz w:val="21"/>
              </w:rPr>
              <w:t>镇财政性资金</w:t>
            </w:r>
            <w:r>
              <w:rPr>
                <w:sz w:val="21"/>
              </w:rPr>
              <w:t>且工程估算达到人民币</w:t>
            </w:r>
            <w:r>
              <w:rPr>
                <w:sz w:val="21"/>
              </w:rPr>
              <w:t>1000</w:t>
            </w:r>
            <w:r>
              <w:rPr>
                <w:sz w:val="21"/>
              </w:rPr>
              <w:t>万元或以上、概算、招标控制价（合同价</w:t>
            </w:r>
            <w:r>
              <w:rPr>
                <w:sz w:val="21"/>
              </w:rPr>
              <w:t>)</w:t>
            </w:r>
            <w:r>
              <w:rPr>
                <w:sz w:val="21"/>
              </w:rPr>
              <w:t>、结算，变更达到人民币</w:t>
            </w:r>
            <w:r>
              <w:rPr>
                <w:sz w:val="21"/>
              </w:rPr>
              <w:t>100</w:t>
            </w:r>
            <w:r>
              <w:rPr>
                <w:sz w:val="21"/>
              </w:rPr>
              <w:t>万元或以上的房屋建筑和市政公用工程、水利工程、送配电、园林绿化工程等。注</w:t>
            </w:r>
            <w:r>
              <w:rPr>
                <w:sz w:val="21"/>
              </w:rPr>
              <w:t xml:space="preserve">: </w:t>
            </w:r>
            <w:r>
              <w:rPr>
                <w:sz w:val="21"/>
              </w:rPr>
              <w:t>结算、变更评审项目金额可能包括人民币</w:t>
            </w:r>
            <w:r>
              <w:rPr>
                <w:sz w:val="21"/>
              </w:rPr>
              <w:t>10</w:t>
            </w:r>
            <w:r>
              <w:rPr>
                <w:sz w:val="21"/>
              </w:rPr>
              <w:t>万元以上项目。具体服务范围以实际委托为准。</w:t>
            </w:r>
          </w:p>
          <w:p>
            <w:pPr>
              <w:pStyle w:val="null3"/>
              <w:jc w:val="both"/>
            </w:pPr>
            <w:r>
              <w:rPr>
                <w:sz w:val="21"/>
              </w:rPr>
              <w:t>（二）项目估算、概算、预算审核：</w:t>
            </w:r>
          </w:p>
          <w:p>
            <w:pPr>
              <w:pStyle w:val="null3"/>
              <w:jc w:val="both"/>
            </w:pPr>
            <w:r>
              <w:rPr>
                <w:sz w:val="21"/>
              </w:rPr>
              <w:t>全面复核清单工程量、综合单价及材料单价、措施费和规费；复核的子项工程量在技术交底中确定，审核工程量的重点在临时工程、大包干项目、造价高比重大项目、图形复杂计量困难项目、新材料新工艺项目、图纸有缺陷项目等。分析工程量清单描述对应图纸的符合性及全面性、分析进行造价指标、对比同类工程单位造价及主要材料单位含量（或造价）指标，提供材料及设备的询价资料。</w:t>
            </w:r>
          </w:p>
          <w:p>
            <w:pPr>
              <w:pStyle w:val="null3"/>
              <w:jc w:val="both"/>
            </w:pPr>
            <w:r>
              <w:rPr>
                <w:sz w:val="21"/>
              </w:rPr>
              <w:t>（三）结算审核：</w:t>
            </w:r>
          </w:p>
          <w:p>
            <w:pPr>
              <w:pStyle w:val="null3"/>
              <w:jc w:val="both"/>
            </w:pPr>
            <w:r>
              <w:rPr>
                <w:sz w:val="21"/>
              </w:rPr>
              <w:t>全面复核工程量；工程签证与招标文件、合同约定及现场情况是否冲突；关注招标文件与施工合同文件的约定；工程量清单描述对应图纸的符合性及全面性；综合单价、材料单价的复核；增加工程中综合单价套用定额的复核，新材料、新工艺单价的分析及询价资料；工程索赔资料的分析。</w:t>
            </w:r>
          </w:p>
        </w:tc>
      </w:tr>
      <w:tr>
        <w:tc>
          <w:tcPr>
            <w:tcW w:type="dxa" w:w="2076"/>
          </w:tcPr>
          <w:p/>
        </w:tc>
        <w:tc>
          <w:tcPr>
            <w:tcW w:type="dxa" w:w="415"/>
          </w:tcPr>
          <w:p>
            <w:pPr>
              <w:pStyle w:val="null3"/>
            </w:pPr>
            <w:r>
              <w:rPr/>
              <w:t>3</w:t>
            </w:r>
          </w:p>
        </w:tc>
        <w:tc>
          <w:tcPr>
            <w:tcW w:type="dxa" w:w="5814"/>
          </w:tcPr>
          <w:p>
            <w:pPr>
              <w:pStyle w:val="null3"/>
              <w:jc w:val="both"/>
            </w:pPr>
            <w:r>
              <w:rPr>
                <w:sz w:val="21"/>
                <w:b/>
              </w:rPr>
              <w:t>评审项目任务分配方法</w:t>
            </w:r>
          </w:p>
          <w:p>
            <w:pPr>
              <w:pStyle w:val="null3"/>
              <w:jc w:val="both"/>
            </w:pPr>
            <w:r>
              <w:rPr>
                <w:sz w:val="21"/>
              </w:rPr>
              <w:t>（</w:t>
            </w:r>
            <w:r>
              <w:rPr>
                <w:sz w:val="21"/>
              </w:rPr>
              <w:t>一</w:t>
            </w:r>
            <w:r>
              <w:rPr>
                <w:sz w:val="21"/>
              </w:rPr>
              <w:t>）</w:t>
            </w:r>
            <w:r>
              <w:rPr>
                <w:sz w:val="21"/>
              </w:rPr>
              <w:t>原则：各中标人最终的审核费用，趋近于确定的审核费用配比。</w:t>
            </w:r>
          </w:p>
          <w:p>
            <w:pPr>
              <w:pStyle w:val="null3"/>
              <w:jc w:val="both"/>
            </w:pPr>
            <w:r>
              <w:rPr>
                <w:sz w:val="21"/>
              </w:rPr>
              <w:t>（</w:t>
            </w:r>
            <w:r>
              <w:rPr>
                <w:sz w:val="21"/>
              </w:rPr>
              <w:t>二</w:t>
            </w:r>
            <w:r>
              <w:rPr>
                <w:sz w:val="21"/>
              </w:rPr>
              <w:t>）</w:t>
            </w:r>
            <w:r>
              <w:rPr>
                <w:sz w:val="21"/>
              </w:rPr>
              <w:t>操作步骤：</w:t>
            </w:r>
          </w:p>
          <w:p>
            <w:pPr>
              <w:pStyle w:val="null3"/>
              <w:jc w:val="both"/>
            </w:pPr>
            <w:r>
              <w:rPr>
                <w:sz w:val="21"/>
              </w:rPr>
              <w:t>1</w:t>
            </w:r>
            <w:r>
              <w:rPr>
                <w:sz w:val="21"/>
              </w:rPr>
              <w:t>、</w:t>
            </w:r>
            <w:r>
              <w:rPr>
                <w:sz w:val="21"/>
              </w:rPr>
              <w:t>由采购人根据自身需求确定基准审核费用配比：按各中标费率由低到高，配比为</w:t>
            </w:r>
            <w:r>
              <w:rPr>
                <w:sz w:val="21"/>
              </w:rPr>
              <w:t>45%:35%:20%。如三个中标人费率相同，配比均分即33.33%：33.33%：33.33%（首轮项目抽签）；如两个中标人费率相同且费率最低，配比为40%：40%：20%（首轮项目抽签）；如两个中标人费率相同且费率最高，配比为45%：27.5%：27.5%（首轮项目抽签）</w:t>
            </w:r>
            <w:r>
              <w:rPr>
                <w:sz w:val="21"/>
              </w:rPr>
              <w:t>。</w:t>
            </w:r>
          </w:p>
          <w:p>
            <w:pPr>
              <w:pStyle w:val="null3"/>
              <w:jc w:val="both"/>
            </w:pPr>
            <w:r>
              <w:rPr>
                <w:sz w:val="21"/>
              </w:rPr>
              <w:t>2</w:t>
            </w:r>
            <w:r>
              <w:rPr>
                <w:sz w:val="21"/>
              </w:rPr>
              <w:t>、</w:t>
            </w:r>
            <w:r>
              <w:rPr>
                <w:sz w:val="21"/>
              </w:rPr>
              <w:t>首轮项目按中标人的中标折扣率由低到高依次委托。</w:t>
            </w:r>
          </w:p>
          <w:p>
            <w:pPr>
              <w:pStyle w:val="null3"/>
              <w:jc w:val="both"/>
            </w:pPr>
            <w:r>
              <w:rPr>
                <w:sz w:val="21"/>
              </w:rPr>
              <w:t>3、各中标人的首个项目完成后，计算各中标人的实际审核费用配比</w:t>
            </w:r>
            <w:r>
              <w:rPr>
                <w:sz w:val="21"/>
              </w:rPr>
              <w:t>（即，各中标人实际完成的审核费用占</w:t>
            </w:r>
            <w:r>
              <w:rPr>
                <w:sz w:val="21"/>
              </w:rPr>
              <w:t>已发生的总审核费用</w:t>
            </w:r>
            <w:r>
              <w:rPr>
                <w:sz w:val="21"/>
              </w:rPr>
              <w:t>的比例）。</w:t>
            </w:r>
          </w:p>
          <w:p>
            <w:pPr>
              <w:pStyle w:val="null3"/>
              <w:jc w:val="both"/>
            </w:pPr>
            <w:r>
              <w:rPr>
                <w:sz w:val="21"/>
              </w:rPr>
              <w:t>4</w:t>
            </w:r>
            <w:r>
              <w:rPr>
                <w:sz w:val="21"/>
              </w:rPr>
              <w:t>、</w:t>
            </w:r>
            <w:r>
              <w:rPr>
                <w:sz w:val="21"/>
              </w:rPr>
              <w:t>计算配比差</w:t>
            </w:r>
            <w:r>
              <w:rPr>
                <w:sz w:val="21"/>
              </w:rPr>
              <w:t>=实际审核费用配比-基准审核费用配比。配比差为负值最大的中标人确定为下一个项目委托人。</w:t>
            </w:r>
          </w:p>
          <w:p>
            <w:pPr>
              <w:pStyle w:val="null3"/>
              <w:jc w:val="both"/>
            </w:pPr>
            <w:r>
              <w:rPr>
                <w:sz w:val="21"/>
              </w:rPr>
              <w:t>（</w:t>
            </w:r>
            <w:r>
              <w:rPr>
                <w:sz w:val="21"/>
              </w:rPr>
              <w:t>三</w:t>
            </w:r>
            <w:r>
              <w:rPr>
                <w:sz w:val="21"/>
              </w:rPr>
              <w:t>）</w:t>
            </w:r>
            <w:r>
              <w:rPr>
                <w:sz w:val="21"/>
              </w:rPr>
              <w:t>说明</w:t>
            </w:r>
            <w:r>
              <w:rPr>
                <w:sz w:val="21"/>
              </w:rPr>
              <w:t>：</w:t>
            </w:r>
            <w:r>
              <w:rPr>
                <w:sz w:val="21"/>
              </w:rPr>
              <w:t>本办法中所述基准审核费用配比仅为分配参考指标，采购人不确保中标人最终的审核费用比例与该配比完全一致。</w:t>
            </w:r>
          </w:p>
          <w:p>
            <w:pPr>
              <w:pStyle w:val="null3"/>
              <w:jc w:val="both"/>
            </w:pPr>
            <w:r>
              <w:rPr>
                <w:sz w:val="21"/>
              </w:rPr>
              <w:t>（</w:t>
            </w:r>
            <w:r>
              <w:rPr>
                <w:sz w:val="21"/>
              </w:rPr>
              <w:t>四</w:t>
            </w:r>
            <w:r>
              <w:rPr>
                <w:sz w:val="21"/>
              </w:rPr>
              <w:t>）</w:t>
            </w:r>
            <w:r>
              <w:rPr>
                <w:sz w:val="21"/>
              </w:rPr>
              <w:t>调整基准审核费用配比的情况：</w:t>
            </w:r>
          </w:p>
          <w:p>
            <w:pPr>
              <w:pStyle w:val="null3"/>
              <w:jc w:val="both"/>
            </w:pPr>
            <w:r>
              <w:rPr>
                <w:sz w:val="21"/>
              </w:rPr>
              <w:t>1</w:t>
            </w:r>
            <w:r>
              <w:rPr>
                <w:sz w:val="21"/>
              </w:rPr>
              <w:t>、</w:t>
            </w:r>
            <w:r>
              <w:rPr>
                <w:sz w:val="21"/>
              </w:rPr>
              <w:t>项目分配时，配比差负值最大的中标人符合回避原则的，项目委托任务改由配比差负值次高的中标人实施，各中标人的基准审核费用配比保持不变。</w:t>
            </w:r>
          </w:p>
          <w:p>
            <w:pPr>
              <w:pStyle w:val="null3"/>
              <w:jc w:val="both"/>
            </w:pPr>
            <w:r>
              <w:rPr>
                <w:sz w:val="21"/>
              </w:rPr>
              <w:t>2</w:t>
            </w:r>
            <w:r>
              <w:rPr>
                <w:sz w:val="21"/>
              </w:rPr>
              <w:t>、</w:t>
            </w:r>
            <w:r>
              <w:rPr>
                <w:sz w:val="21"/>
              </w:rPr>
              <w:t>中标人非应回避的原因拒绝接受分配的，视同放弃本轮次项目委托资格，项目委托任务改由配比差负值次高的中标人实施。放弃项目委托资格累计</w:t>
            </w:r>
            <w:r>
              <w:rPr>
                <w:sz w:val="21"/>
              </w:rPr>
              <w:t>1次的中标人，自放弃委托之后的基准审核费用配比降低5%，降低的配比份额平均分配给另两个中标人。</w:t>
            </w:r>
          </w:p>
          <w:p>
            <w:pPr>
              <w:pStyle w:val="null3"/>
              <w:jc w:val="both"/>
            </w:pPr>
            <w:r>
              <w:rPr>
                <w:sz w:val="21"/>
              </w:rPr>
              <w:t>3</w:t>
            </w:r>
            <w:r>
              <w:rPr>
                <w:sz w:val="21"/>
              </w:rPr>
              <w:t>、</w:t>
            </w:r>
            <w:r>
              <w:rPr>
                <w:sz w:val="21"/>
              </w:rPr>
              <w:t>中标人无法按时按质完成委托任务的，视同放弃本轮次项目委托资格，基准审核费用配比调整参考第</w:t>
            </w:r>
            <w:r>
              <w:rPr>
                <w:sz w:val="21"/>
              </w:rPr>
              <w:t>2条。</w:t>
            </w:r>
          </w:p>
          <w:p>
            <w:pPr>
              <w:pStyle w:val="null3"/>
              <w:jc w:val="both"/>
            </w:pPr>
            <w:r>
              <w:rPr>
                <w:sz w:val="21"/>
              </w:rPr>
              <w:t>（五）</w:t>
            </w:r>
            <w:r>
              <w:rPr>
                <w:sz w:val="21"/>
              </w:rPr>
              <w:t>回避规则：接受项目委托的中标人与委托项目有利害关系的（包括但不限于结算评审单位参与该项目施工图预算阶段造价的编制或中标人与该项目相关实施单位有利害关系等），必须主动申请回避。</w:t>
            </w:r>
            <w:r>
              <w:br/>
            </w:r>
            <w:r>
              <w:rPr>
                <w:sz w:val="21"/>
              </w:rPr>
              <w:t>（</w:t>
            </w:r>
            <w:r>
              <w:rPr>
                <w:sz w:val="21"/>
              </w:rPr>
              <w:t>六</w:t>
            </w:r>
            <w:r>
              <w:rPr>
                <w:sz w:val="21"/>
              </w:rPr>
              <w:t>）</w:t>
            </w:r>
            <w:r>
              <w:rPr>
                <w:sz w:val="21"/>
              </w:rPr>
              <w:t>服务期内采购人根据实际情况可调整分配方式，</w:t>
            </w:r>
            <w:r>
              <w:rPr>
                <w:sz w:val="21"/>
              </w:rPr>
              <w:t>具体分配方式以采购人签订合同时提供为准。</w:t>
            </w:r>
            <w:r>
              <w:rPr>
                <w:sz w:val="21"/>
              </w:rPr>
              <w:t>中标人</w:t>
            </w:r>
            <w:r>
              <w:rPr>
                <w:sz w:val="21"/>
              </w:rPr>
              <w:t>应</w:t>
            </w:r>
            <w:r>
              <w:rPr>
                <w:sz w:val="21"/>
              </w:rPr>
              <w:t>无条件接受。</w:t>
            </w:r>
          </w:p>
        </w:tc>
      </w:tr>
      <w:tr>
        <w:tc>
          <w:tcPr>
            <w:tcW w:type="dxa" w:w="2076"/>
          </w:tcPr>
          <w:p/>
        </w:tc>
        <w:tc>
          <w:tcPr>
            <w:tcW w:type="dxa" w:w="415"/>
          </w:tcPr>
          <w:p>
            <w:pPr>
              <w:pStyle w:val="null3"/>
            </w:pPr>
            <w:r>
              <w:rPr/>
              <w:t>4</w:t>
            </w:r>
          </w:p>
        </w:tc>
        <w:tc>
          <w:tcPr>
            <w:tcW w:type="dxa" w:w="5814"/>
          </w:tcPr>
          <w:p>
            <w:pPr>
              <w:pStyle w:val="null3"/>
              <w:jc w:val="both"/>
            </w:pPr>
            <w:r>
              <w:rPr>
                <w:sz w:val="21"/>
                <w:b/>
              </w:rPr>
              <w:t>项目实施人员要求</w:t>
            </w:r>
          </w:p>
          <w:p>
            <w:pPr>
              <w:pStyle w:val="null3"/>
              <w:jc w:val="both"/>
            </w:pPr>
            <w:r>
              <w:rPr>
                <w:sz w:val="21"/>
              </w:rPr>
              <w:t>（一）投标人应具备足够的人力、物力等资源，保证按时按质按量完成委托的评审业务，且对基建工程评审的各个专业领域都比较熟悉。</w:t>
            </w:r>
          </w:p>
          <w:p>
            <w:pPr>
              <w:pStyle w:val="null3"/>
              <w:jc w:val="both"/>
            </w:pPr>
            <w:r>
              <w:rPr>
                <w:sz w:val="21"/>
              </w:rPr>
              <w:t>（二）投标人应具有一般土建、市政、装饰、安装、园林绿化工程以及水利等专业工程的审核能力和经验，并具备相关专业的工程师和专家。</w:t>
            </w:r>
          </w:p>
          <w:p>
            <w:pPr>
              <w:pStyle w:val="null3"/>
              <w:jc w:val="both"/>
            </w:pPr>
            <w:r>
              <w:rPr>
                <w:sz w:val="21"/>
              </w:rPr>
              <w:t>（三）拟派评审人员名单由公司负责人、管理人员、审核人员（相关专业专家）组成，其中拟派的管理人员应具备丰富的工程审核管理经验，拟派的评审人员应具备较强的工程审核能力和财政评审经验，其中具有注册造价工程师的人员人数在</w:t>
            </w:r>
            <w:r>
              <w:rPr>
                <w:sz w:val="21"/>
              </w:rPr>
              <w:t>2</w:t>
            </w:r>
            <w:r>
              <w:rPr>
                <w:sz w:val="21"/>
              </w:rPr>
              <w:t>人或以上（至少要含</w:t>
            </w:r>
            <w:r>
              <w:rPr>
                <w:sz w:val="21"/>
              </w:rPr>
              <w:t>1</w:t>
            </w:r>
            <w:r>
              <w:rPr>
                <w:sz w:val="21"/>
              </w:rPr>
              <w:t>名高级工程师）。</w:t>
            </w:r>
          </w:p>
          <w:p>
            <w:pPr>
              <w:pStyle w:val="null3"/>
              <w:jc w:val="both"/>
            </w:pPr>
            <w:r>
              <w:rPr>
                <w:sz w:val="21"/>
              </w:rPr>
              <w:t>（四）投标人应在投标文件中对拟选派的评审人员进行承诺，并列明拟派评审人员的详细情况，内容包括：评审人员姓名、年龄、专业、执业（专业）资格证号、职称。拟派评审从业人员应覆盖建筑、安装、装饰、园林绿化、市政、电力（电气）、公路（路桥）、水利等专业，具体人数由投标单位根据采购人的要求和投标单位的自身情况决定。中标人必须按照投标文件承诺选派人员，如需变更的，须报经采购人同意。</w:t>
            </w:r>
          </w:p>
          <w:p>
            <w:pPr>
              <w:pStyle w:val="null3"/>
              <w:jc w:val="both"/>
            </w:pPr>
            <w:r>
              <w:rPr>
                <w:sz w:val="21"/>
              </w:rPr>
              <w:t>（五）在工程评审过程中，采购人若发现中标人工作人员存在职业道德、工作态度和能力等问题不能胜任评审工作要求的，采购人保留更换相关人员、减少委托任务和更换中标人的权利。</w:t>
            </w:r>
          </w:p>
          <w:p>
            <w:pPr>
              <w:pStyle w:val="null3"/>
              <w:jc w:val="both"/>
            </w:pPr>
            <w:r>
              <w:rPr>
                <w:sz w:val="21"/>
              </w:rPr>
              <w:t>（六）拟派评审人员需在其执业资格内执业。</w:t>
            </w:r>
          </w:p>
        </w:tc>
      </w:tr>
      <w:tr>
        <w:tc>
          <w:tcPr>
            <w:tcW w:type="dxa" w:w="2076"/>
          </w:tcPr>
          <w:p/>
        </w:tc>
        <w:tc>
          <w:tcPr>
            <w:tcW w:type="dxa" w:w="415"/>
          </w:tcPr>
          <w:p>
            <w:pPr>
              <w:pStyle w:val="null3"/>
            </w:pPr>
            <w:r>
              <w:rPr/>
              <w:t>5</w:t>
            </w:r>
          </w:p>
        </w:tc>
        <w:tc>
          <w:tcPr>
            <w:tcW w:type="dxa" w:w="5814"/>
          </w:tcPr>
          <w:p>
            <w:pPr>
              <w:pStyle w:val="null3"/>
              <w:jc w:val="both"/>
            </w:pPr>
            <w:r>
              <w:rPr>
                <w:sz w:val="21"/>
                <w:b/>
              </w:rPr>
              <w:t>具体服务要求</w:t>
            </w:r>
          </w:p>
          <w:p>
            <w:pPr>
              <w:pStyle w:val="null3"/>
              <w:jc w:val="both"/>
            </w:pPr>
            <w:r>
              <w:rPr>
                <w:sz w:val="21"/>
              </w:rPr>
              <w:t>（一）投标人需针对本次招标而制定服务计划及承诺。</w:t>
            </w:r>
          </w:p>
          <w:p>
            <w:pPr>
              <w:pStyle w:val="null3"/>
              <w:jc w:val="both"/>
            </w:pPr>
            <w:r>
              <w:rPr>
                <w:sz w:val="21"/>
              </w:rPr>
              <w:t>（二）投标人有健全的组织机构和内部管理制度，有完善的质量保证体系和技术经济档案管理制度，有良好的服务态度和较好的社会信誉。</w:t>
            </w:r>
          </w:p>
          <w:p>
            <w:pPr>
              <w:pStyle w:val="null3"/>
              <w:jc w:val="both"/>
            </w:pPr>
            <w:r>
              <w:rPr>
                <w:sz w:val="21"/>
              </w:rPr>
              <w:t>（三）投标人有保证业务需要的交通工具、现代办公设备和符合顺德当地造价管理部门要求的造价评审管理软件。</w:t>
            </w:r>
          </w:p>
          <w:p>
            <w:pPr>
              <w:pStyle w:val="null3"/>
              <w:jc w:val="both"/>
            </w:pPr>
            <w:r>
              <w:rPr>
                <w:sz w:val="21"/>
              </w:rPr>
              <w:t>（四）中标人应根据国家和省、市有关工程造价的法规、政策、文件，以及基建财务管理的有关规定，本着为政府节约投资的原则，科学、客观、公正地开展评审工作，按采购人的要求，按时按质按量提供评审报告，并对评审结论的真实性、准确性、完整性和合法性负责。对复审和抽查发现有重大质量问题或较大幅度漏审的，以及因项目评审结论不实，引起诉讼和纠纷的，中标人须承担相关责任并接受采购人作出的通报批评、扣减评审费用、停止委托新的评审任务和解除委托合同等处罚。</w:t>
            </w:r>
          </w:p>
          <w:p>
            <w:pPr>
              <w:pStyle w:val="null3"/>
              <w:jc w:val="both"/>
            </w:pPr>
            <w:r>
              <w:rPr>
                <w:sz w:val="21"/>
              </w:rPr>
              <w:t>（五）中标人必须独立完成采购人委托的评审任务，不得将评审业务转让给第三方完成，并能按采购人的要求定期做好已完成项目的相关资料的移交和归档工作。</w:t>
            </w:r>
          </w:p>
          <w:p>
            <w:pPr>
              <w:pStyle w:val="null3"/>
              <w:jc w:val="both"/>
            </w:pPr>
            <w:r>
              <w:rPr>
                <w:sz w:val="21"/>
              </w:rPr>
              <w:t>（六）中标人需向采购人提供常设全天候</w:t>
            </w:r>
            <w:r>
              <w:rPr>
                <w:sz w:val="21"/>
              </w:rPr>
              <w:t>24</w:t>
            </w:r>
            <w:r>
              <w:rPr>
                <w:sz w:val="21"/>
              </w:rPr>
              <w:t>小时服务热线和长期的免费技术支持。</w:t>
            </w:r>
          </w:p>
          <w:p>
            <w:pPr>
              <w:pStyle w:val="null3"/>
              <w:jc w:val="both"/>
            </w:pPr>
            <w:r>
              <w:rPr>
                <w:sz w:val="21"/>
              </w:rPr>
              <w:t>（七）采购人要求中标人接收送审资料的，中标人应当收到通知后</w:t>
            </w:r>
            <w:r>
              <w:rPr>
                <w:sz w:val="21"/>
              </w:rPr>
              <w:t>24</w:t>
            </w:r>
            <w:r>
              <w:rPr>
                <w:sz w:val="21"/>
              </w:rPr>
              <w:t>小时内到采购人指定地点签收相关资料。</w:t>
            </w:r>
          </w:p>
          <w:p>
            <w:pPr>
              <w:pStyle w:val="null3"/>
              <w:jc w:val="both"/>
            </w:pPr>
            <w:r>
              <w:rPr>
                <w:sz w:val="21"/>
              </w:rPr>
              <w:t>（八）定期配合采购人做好业务负责人和技术负责人的定期培训和例会工作。</w:t>
            </w:r>
          </w:p>
          <w:p>
            <w:pPr>
              <w:pStyle w:val="null3"/>
              <w:jc w:val="both"/>
            </w:pPr>
            <w:r>
              <w:rPr>
                <w:sz w:val="21"/>
              </w:rPr>
              <w:t>（九）非经采购人同意，不得就委托业务直接与建设、施工等单位联系。在征得采购人同意后，才能向建设单位索取资料。所取得的资料必须经过采购人确认，才能作为工程评审的依据。</w:t>
            </w:r>
          </w:p>
          <w:p>
            <w:pPr>
              <w:pStyle w:val="null3"/>
              <w:jc w:val="both"/>
            </w:pPr>
            <w:r>
              <w:rPr>
                <w:sz w:val="21"/>
              </w:rPr>
              <w:t>（十）投标人需为本项目制定应急预案（包括但不限于临时增加任务需求、任务加急处理工作安排等）。</w:t>
            </w:r>
          </w:p>
        </w:tc>
      </w:tr>
      <w:tr>
        <w:tc>
          <w:tcPr>
            <w:tcW w:type="dxa" w:w="2076"/>
          </w:tcPr>
          <w:p/>
        </w:tc>
        <w:tc>
          <w:tcPr>
            <w:tcW w:type="dxa" w:w="415"/>
          </w:tcPr>
          <w:p>
            <w:pPr>
              <w:pStyle w:val="null3"/>
            </w:pPr>
            <w:r>
              <w:rPr/>
              <w:t>6</w:t>
            </w:r>
          </w:p>
        </w:tc>
        <w:tc>
          <w:tcPr>
            <w:tcW w:type="dxa" w:w="5814"/>
          </w:tcPr>
          <w:p>
            <w:pPr>
              <w:pStyle w:val="null3"/>
              <w:jc w:val="left"/>
            </w:pPr>
            <w:r>
              <w:rPr>
                <w:sz w:val="21"/>
                <w:b/>
              </w:rPr>
              <w:t>委托项目完成时间要求</w:t>
            </w:r>
          </w:p>
          <w:p>
            <w:pPr>
              <w:pStyle w:val="null3"/>
              <w:ind w:firstLine="420"/>
              <w:jc w:val="left"/>
            </w:pPr>
            <w:r>
              <w:rPr>
                <w:sz w:val="21"/>
              </w:rPr>
              <w:t>审价时限一般参照以下的标准执行，其中审价时限分第一阶段完成时限和第二阶段完成时限两种情况。第一阶段完成时限是指中标人接受委托之日开始计算，到提交完整的评审初稿时间；第二阶段完成时限是指组织对数完成，项目评审资料完善之日开始计算，到提交正式完整的评审定案稿时间：</w:t>
            </w:r>
          </w:p>
          <w:tbl>
            <w:tblPr>
              <w:tblInd w:type="dxa" w:w="120"/>
              <w:tblBorders>
                <w:top w:val="none" w:color="000000" w:sz="4"/>
                <w:left w:val="none" w:color="000000" w:sz="4"/>
                <w:bottom w:val="none" w:color="000000" w:sz="4"/>
                <w:right w:val="none" w:color="000000" w:sz="4"/>
                <w:insideH w:val="none"/>
                <w:insideV w:val="none"/>
              </w:tblBorders>
            </w:tblPr>
            <w:tblGrid>
              <w:gridCol w:w="1325"/>
              <w:gridCol w:w="2666"/>
              <w:gridCol w:w="1606"/>
            </w:tblGrid>
            <w:tr>
              <w:tc>
                <w:tcPr>
                  <w:tcW w:type="dxa" w:w="1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服务类别</w:t>
                  </w:r>
                </w:p>
              </w:tc>
              <w:tc>
                <w:tcPr>
                  <w:tcW w:type="dxa" w:w="26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送审金额</w:t>
                  </w:r>
                </w:p>
              </w:tc>
              <w:tc>
                <w:tcPr>
                  <w:tcW w:type="dxa" w:w="16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完成时限</w:t>
                  </w:r>
                </w:p>
              </w:tc>
            </w:tr>
            <w:tr>
              <w:tc>
                <w:tcPr>
                  <w:tcW w:type="dxa" w:w="1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估算、概算、预算</w:t>
                  </w:r>
                </w:p>
              </w:tc>
              <w:tc>
                <w:tcPr>
                  <w:tcW w:type="dxa" w:w="2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100</w:t>
                  </w:r>
                  <w:r>
                    <w:rPr>
                      <w:sz w:val="21"/>
                    </w:rPr>
                    <w:t>万元至</w:t>
                  </w:r>
                  <w:r>
                    <w:rPr>
                      <w:sz w:val="21"/>
                    </w:rPr>
                    <w:t>400</w:t>
                  </w:r>
                  <w:r>
                    <w:rPr>
                      <w:sz w:val="21"/>
                    </w:rPr>
                    <w:t>万元</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r>
                    <w:rPr>
                      <w:sz w:val="21"/>
                    </w:rPr>
                    <w:t>个日历日</w:t>
                  </w:r>
                </w:p>
              </w:tc>
            </w:tr>
            <w:tr>
              <w:tc>
                <w:tcPr>
                  <w:tcW w:type="dxa" w:w="1325"/>
                  <w:vMerge/>
                  <w:tcBorders>
                    <w:top w:val="none" w:color="000000" w:sz="4"/>
                    <w:left w:val="single" w:color="000000" w:sz="4"/>
                    <w:bottom w:val="single" w:color="000000" w:sz="4"/>
                    <w:right w:val="single" w:color="000000" w:sz="4"/>
                  </w:tcBorders>
                </w:tcPr>
                <w:p/>
              </w:tc>
              <w:tc>
                <w:tcPr>
                  <w:tcW w:type="dxa" w:w="2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400</w:t>
                  </w:r>
                  <w:r>
                    <w:rPr>
                      <w:sz w:val="21"/>
                    </w:rPr>
                    <w:t>万元至</w:t>
                  </w:r>
                  <w:r>
                    <w:rPr>
                      <w:sz w:val="21"/>
                    </w:rPr>
                    <w:t>1000</w:t>
                  </w:r>
                  <w:r>
                    <w:rPr>
                      <w:sz w:val="21"/>
                    </w:rPr>
                    <w:t>万元</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r>
                    <w:rPr>
                      <w:sz w:val="21"/>
                    </w:rPr>
                    <w:t>个日历日</w:t>
                  </w:r>
                </w:p>
              </w:tc>
            </w:tr>
            <w:tr>
              <w:tc>
                <w:tcPr>
                  <w:tcW w:type="dxa" w:w="1325"/>
                  <w:vMerge/>
                  <w:tcBorders>
                    <w:top w:val="none" w:color="000000" w:sz="4"/>
                    <w:left w:val="single" w:color="000000" w:sz="4"/>
                    <w:bottom w:val="single" w:color="000000" w:sz="4"/>
                    <w:right w:val="single" w:color="000000" w:sz="4"/>
                  </w:tcBorders>
                </w:tcPr>
                <w:p/>
              </w:tc>
              <w:tc>
                <w:tcPr>
                  <w:tcW w:type="dxa" w:w="2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1000</w:t>
                  </w:r>
                  <w:r>
                    <w:rPr>
                      <w:sz w:val="21"/>
                    </w:rPr>
                    <w:t>万元至</w:t>
                  </w:r>
                  <w:r>
                    <w:rPr>
                      <w:sz w:val="21"/>
                    </w:rPr>
                    <w:t>5000</w:t>
                  </w:r>
                  <w:r>
                    <w:rPr>
                      <w:sz w:val="21"/>
                    </w:rPr>
                    <w:t>万元</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15</w:t>
                  </w:r>
                  <w:r>
                    <w:rPr>
                      <w:sz w:val="21"/>
                    </w:rPr>
                    <w:t>个日历日</w:t>
                  </w:r>
                </w:p>
              </w:tc>
            </w:tr>
            <w:tr>
              <w:tc>
                <w:tcPr>
                  <w:tcW w:type="dxa" w:w="1325"/>
                  <w:vMerge/>
                  <w:tcBorders>
                    <w:top w:val="none" w:color="000000" w:sz="4"/>
                    <w:left w:val="single" w:color="000000" w:sz="4"/>
                    <w:bottom w:val="single" w:color="000000" w:sz="4"/>
                    <w:right w:val="single" w:color="000000" w:sz="4"/>
                  </w:tcBorders>
                </w:tcPr>
                <w:p/>
              </w:tc>
              <w:tc>
                <w:tcPr>
                  <w:tcW w:type="dxa" w:w="2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5000</w:t>
                  </w:r>
                  <w:r>
                    <w:rPr>
                      <w:sz w:val="21"/>
                    </w:rPr>
                    <w:t>万元至</w:t>
                  </w:r>
                  <w:r>
                    <w:rPr>
                      <w:sz w:val="21"/>
                    </w:rPr>
                    <w:t>1</w:t>
                  </w:r>
                  <w:r>
                    <w:rPr>
                      <w:sz w:val="21"/>
                    </w:rPr>
                    <w:t>亿元以下</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w:t>
                  </w:r>
                  <w:r>
                    <w:rPr>
                      <w:sz w:val="21"/>
                    </w:rPr>
                    <w:t>个日历日</w:t>
                  </w:r>
                </w:p>
              </w:tc>
            </w:tr>
            <w:tr>
              <w:tc>
                <w:tcPr>
                  <w:tcW w:type="dxa" w:w="1325"/>
                  <w:vMerge/>
                  <w:tcBorders>
                    <w:top w:val="none" w:color="000000" w:sz="4"/>
                    <w:left w:val="single" w:color="000000" w:sz="4"/>
                    <w:bottom w:val="single" w:color="000000" w:sz="4"/>
                    <w:right w:val="single" w:color="000000" w:sz="4"/>
                  </w:tcBorders>
                </w:tcPr>
                <w:p/>
              </w:tc>
              <w:tc>
                <w:tcPr>
                  <w:tcW w:type="dxa" w:w="2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亿元以上</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35</w:t>
                  </w:r>
                  <w:r>
                    <w:rPr>
                      <w:sz w:val="21"/>
                    </w:rPr>
                    <w:t>个日历日</w:t>
                  </w:r>
                </w:p>
              </w:tc>
            </w:tr>
            <w:tr>
              <w:tc>
                <w:tcPr>
                  <w:tcW w:type="dxa" w:w="1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结算（变更）</w:t>
                  </w:r>
                </w:p>
              </w:tc>
              <w:tc>
                <w:tcPr>
                  <w:tcW w:type="dxa" w:w="2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100</w:t>
                  </w:r>
                  <w:r>
                    <w:rPr>
                      <w:sz w:val="21"/>
                    </w:rPr>
                    <w:t>万元以下</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r>
                    <w:rPr>
                      <w:sz w:val="21"/>
                    </w:rPr>
                    <w:t>个日历日</w:t>
                  </w:r>
                </w:p>
              </w:tc>
            </w:tr>
            <w:tr>
              <w:tc>
                <w:tcPr>
                  <w:tcW w:type="dxa" w:w="1325"/>
                  <w:vMerge/>
                  <w:tcBorders>
                    <w:top w:val="none" w:color="000000" w:sz="4"/>
                    <w:left w:val="single" w:color="000000" w:sz="4"/>
                    <w:bottom w:val="single" w:color="000000" w:sz="4"/>
                    <w:right w:val="single" w:color="000000" w:sz="4"/>
                  </w:tcBorders>
                </w:tcPr>
                <w:p/>
              </w:tc>
              <w:tc>
                <w:tcPr>
                  <w:tcW w:type="dxa" w:w="2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100</w:t>
                  </w:r>
                  <w:r>
                    <w:rPr>
                      <w:sz w:val="21"/>
                    </w:rPr>
                    <w:t>万元至</w:t>
                  </w:r>
                  <w:r>
                    <w:rPr>
                      <w:sz w:val="21"/>
                    </w:rPr>
                    <w:t>400</w:t>
                  </w:r>
                  <w:r>
                    <w:rPr>
                      <w:sz w:val="21"/>
                    </w:rPr>
                    <w:t>万元</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7</w:t>
                  </w:r>
                  <w:r>
                    <w:rPr>
                      <w:sz w:val="21"/>
                    </w:rPr>
                    <w:t>个日历日</w:t>
                  </w:r>
                </w:p>
              </w:tc>
            </w:tr>
            <w:tr>
              <w:tc>
                <w:tcPr>
                  <w:tcW w:type="dxa" w:w="1325"/>
                  <w:vMerge/>
                  <w:tcBorders>
                    <w:top w:val="none" w:color="000000" w:sz="4"/>
                    <w:left w:val="single" w:color="000000" w:sz="4"/>
                    <w:bottom w:val="single" w:color="000000" w:sz="4"/>
                    <w:right w:val="single" w:color="000000" w:sz="4"/>
                  </w:tcBorders>
                </w:tcPr>
                <w:p/>
              </w:tc>
              <w:tc>
                <w:tcPr>
                  <w:tcW w:type="dxa" w:w="2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400</w:t>
                  </w:r>
                  <w:r>
                    <w:rPr>
                      <w:sz w:val="21"/>
                    </w:rPr>
                    <w:t>万元至</w:t>
                  </w:r>
                  <w:r>
                    <w:rPr>
                      <w:sz w:val="21"/>
                    </w:rPr>
                    <w:t>1000</w:t>
                  </w:r>
                  <w:r>
                    <w:rPr>
                      <w:sz w:val="21"/>
                    </w:rPr>
                    <w:t>万元</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15</w:t>
                  </w:r>
                  <w:r>
                    <w:rPr>
                      <w:sz w:val="21"/>
                    </w:rPr>
                    <w:t>个日历日</w:t>
                  </w:r>
                </w:p>
              </w:tc>
            </w:tr>
            <w:tr>
              <w:tc>
                <w:tcPr>
                  <w:tcW w:type="dxa" w:w="1325"/>
                  <w:vMerge/>
                  <w:tcBorders>
                    <w:top w:val="none" w:color="000000" w:sz="4"/>
                    <w:left w:val="single" w:color="000000" w:sz="4"/>
                    <w:bottom w:val="single" w:color="000000" w:sz="4"/>
                    <w:right w:val="single" w:color="000000" w:sz="4"/>
                  </w:tcBorders>
                </w:tcPr>
                <w:p/>
              </w:tc>
              <w:tc>
                <w:tcPr>
                  <w:tcW w:type="dxa" w:w="2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1000</w:t>
                  </w:r>
                  <w:r>
                    <w:rPr>
                      <w:sz w:val="21"/>
                    </w:rPr>
                    <w:t>万元至</w:t>
                  </w:r>
                  <w:r>
                    <w:rPr>
                      <w:sz w:val="21"/>
                    </w:rPr>
                    <w:t>5000</w:t>
                  </w:r>
                  <w:r>
                    <w:rPr>
                      <w:sz w:val="21"/>
                    </w:rPr>
                    <w:t>万元</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w:t>
                  </w:r>
                  <w:r>
                    <w:rPr>
                      <w:sz w:val="21"/>
                    </w:rPr>
                    <w:t>个日历日</w:t>
                  </w:r>
                </w:p>
              </w:tc>
            </w:tr>
            <w:tr>
              <w:tc>
                <w:tcPr>
                  <w:tcW w:type="dxa" w:w="1325"/>
                  <w:vMerge/>
                  <w:tcBorders>
                    <w:top w:val="none" w:color="000000" w:sz="4"/>
                    <w:left w:val="single" w:color="000000" w:sz="4"/>
                    <w:bottom w:val="single" w:color="000000" w:sz="4"/>
                    <w:right w:val="single" w:color="000000" w:sz="4"/>
                  </w:tcBorders>
                </w:tcPr>
                <w:p/>
              </w:tc>
              <w:tc>
                <w:tcPr>
                  <w:tcW w:type="dxa" w:w="2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5000</w:t>
                  </w:r>
                  <w:r>
                    <w:rPr>
                      <w:sz w:val="21"/>
                    </w:rPr>
                    <w:t>万元至</w:t>
                  </w:r>
                  <w:r>
                    <w:rPr>
                      <w:sz w:val="21"/>
                    </w:rPr>
                    <w:t>1</w:t>
                  </w:r>
                  <w:r>
                    <w:rPr>
                      <w:sz w:val="21"/>
                    </w:rPr>
                    <w:t>亿元以下</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25</w:t>
                  </w:r>
                  <w:r>
                    <w:rPr>
                      <w:sz w:val="21"/>
                    </w:rPr>
                    <w:t>个日历日</w:t>
                  </w:r>
                </w:p>
              </w:tc>
            </w:tr>
            <w:tr>
              <w:tc>
                <w:tcPr>
                  <w:tcW w:type="dxa" w:w="1325"/>
                  <w:vMerge/>
                  <w:tcBorders>
                    <w:top w:val="none" w:color="000000" w:sz="4"/>
                    <w:left w:val="single" w:color="000000" w:sz="4"/>
                    <w:bottom w:val="single" w:color="000000" w:sz="4"/>
                    <w:right w:val="single" w:color="000000" w:sz="4"/>
                  </w:tcBorders>
                </w:tcPr>
                <w:p/>
              </w:tc>
              <w:tc>
                <w:tcPr>
                  <w:tcW w:type="dxa" w:w="2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亿元以上</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50</w:t>
                  </w:r>
                  <w:r>
                    <w:rPr>
                      <w:sz w:val="21"/>
                    </w:rPr>
                    <w:t>个日历日</w:t>
                  </w:r>
                </w:p>
              </w:tc>
            </w:tr>
            <w:tr>
              <w:tc>
                <w:tcPr>
                  <w:tcW w:type="dxa" w:w="559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备注：下限包含本数，上限不包含本数。</w:t>
                  </w:r>
                </w:p>
              </w:tc>
            </w:tr>
          </w:tbl>
          <w:p>
            <w:pPr>
              <w:pStyle w:val="null3"/>
              <w:jc w:val="both"/>
            </w:pPr>
            <w:r>
              <w:rPr>
                <w:sz w:val="21"/>
              </w:rPr>
              <w:t>以上为完成时限的一般标准。具体每项工程的完成时间，除特殊紧急情况外，以委托协议书规定的完成时限为准。</w:t>
            </w:r>
          </w:p>
        </w:tc>
      </w:tr>
      <w:tr>
        <w:tc>
          <w:tcPr>
            <w:tcW w:type="dxa" w:w="2076"/>
          </w:tcPr>
          <w:p>
            <w:pPr>
              <w:pStyle w:val="null3"/>
            </w:pPr>
            <w:r>
              <w:rPr/>
              <w:t>★</w:t>
            </w:r>
          </w:p>
        </w:tc>
        <w:tc>
          <w:tcPr>
            <w:tcW w:type="dxa" w:w="415"/>
          </w:tcPr>
          <w:p>
            <w:pPr>
              <w:pStyle w:val="null3"/>
            </w:pPr>
            <w:r>
              <w:rPr/>
              <w:t>7</w:t>
            </w:r>
          </w:p>
        </w:tc>
        <w:tc>
          <w:tcPr>
            <w:tcW w:type="dxa" w:w="5814"/>
          </w:tcPr>
          <w:p>
            <w:pPr>
              <w:pStyle w:val="null3"/>
              <w:jc w:val="both"/>
            </w:pPr>
            <w:r>
              <w:rPr>
                <w:sz w:val="21"/>
                <w:b/>
              </w:rPr>
              <w:t>服务质量考核</w:t>
            </w:r>
          </w:p>
          <w:p>
            <w:pPr>
              <w:pStyle w:val="null3"/>
              <w:jc w:val="both"/>
            </w:pPr>
            <w:r>
              <w:rPr>
                <w:sz w:val="21"/>
              </w:rPr>
              <w:t>（一）采购人对中标人参与的每一个评审项目的审核质量、服务质量情况等进行考核评分（考核标准详见《服务质量评价表》），评价总分</w:t>
            </w:r>
            <w:r>
              <w:rPr>
                <w:sz w:val="21"/>
              </w:rPr>
              <w:t>70</w:t>
            </w:r>
            <w:r>
              <w:rPr>
                <w:sz w:val="21"/>
              </w:rPr>
              <w:t>分以上为合格。如中标人一年累计两个评审项目评价总分低于</w:t>
            </w:r>
            <w:r>
              <w:rPr>
                <w:sz w:val="21"/>
              </w:rPr>
              <w:t>70</w:t>
            </w:r>
            <w:r>
              <w:rPr>
                <w:sz w:val="21"/>
              </w:rPr>
              <w:t>分，采购人有权单方中止服务合同。</w:t>
            </w:r>
          </w:p>
          <w:p>
            <w:pPr>
              <w:pStyle w:val="null3"/>
              <w:jc w:val="both"/>
            </w:pPr>
            <w:r>
              <w:rPr>
                <w:sz w:val="21"/>
              </w:rPr>
              <w:t>（二）每个评审项目的考核工作在项目评审完成并出具评审报告时随即进行，考核结果由该项目的中标人盖章确认。中标人对考核结果有疑义的，可以自收到考核结果之日</w:t>
            </w:r>
            <w:r>
              <w:rPr>
                <w:sz w:val="21"/>
              </w:rPr>
              <w:t>3</w:t>
            </w:r>
            <w:r>
              <w:rPr>
                <w:sz w:val="21"/>
              </w:rPr>
              <w:t>个工作日内，向采购人提出书面申诉。若被考核项目的中标人在接到考核结果后</w:t>
            </w:r>
            <w:r>
              <w:rPr>
                <w:sz w:val="21"/>
              </w:rPr>
              <w:t>3</w:t>
            </w:r>
            <w:r>
              <w:rPr>
                <w:sz w:val="21"/>
              </w:rPr>
              <w:t>个工作日内未提出意见或盖章的，则视为同意考核结果；若中标人对考核结果有不同意见的，应与采购人核对，核对三次仍无法统一意见的，以最后一次核对结果作为最终考核结论。</w:t>
            </w:r>
          </w:p>
          <w:tbl>
            <w:tblPr>
              <w:tblInd w:type="dxa" w:w="105"/>
              <w:tblBorders>
                <w:top w:val="none" w:color="000000" w:sz="4"/>
                <w:left w:val="none" w:color="000000" w:sz="4"/>
                <w:bottom w:val="none" w:color="000000" w:sz="4"/>
                <w:right w:val="none" w:color="000000" w:sz="4"/>
                <w:insideH w:val="none"/>
                <w:insideV w:val="none"/>
              </w:tblBorders>
            </w:tblPr>
            <w:tblGrid>
              <w:gridCol w:w="942"/>
              <w:gridCol w:w="1459"/>
              <w:gridCol w:w="956"/>
              <w:gridCol w:w="896"/>
              <w:gridCol w:w="826"/>
              <w:gridCol w:w="520"/>
            </w:tblGrid>
            <w:tr>
              <w:tc>
                <w:tcPr>
                  <w:tcW w:type="dxa" w:w="5599"/>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b/>
                      <w:color w:val="000000"/>
                    </w:rPr>
                    <w:t>服务质量评价表</w:t>
                  </w:r>
                </w:p>
              </w:tc>
            </w:tr>
            <w:tr>
              <w:tc>
                <w:tcPr>
                  <w:tcW w:type="dxa" w:w="9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项目名称</w:t>
                  </w:r>
                </w:p>
              </w:tc>
              <w:tc>
                <w:tcPr>
                  <w:tcW w:type="dxa" w:w="4657"/>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受评单位</w:t>
                  </w:r>
                </w:p>
              </w:tc>
              <w:tc>
                <w:tcPr>
                  <w:tcW w:type="dxa" w:w="14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服务内容</w:t>
                  </w:r>
                </w:p>
              </w:tc>
              <w:tc>
                <w:tcPr>
                  <w:tcW w:type="dxa" w:w="2242"/>
                  <w:gridSpan w:val="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color w:val="000000"/>
                    </w:rPr>
                    <w:t>口审核工程量清单</w:t>
                  </w:r>
                </w:p>
              </w:tc>
            </w:tr>
            <w:tr>
              <w:tc>
                <w:tcPr>
                  <w:tcW w:type="dxa" w:w="942"/>
                  <w:vMerge/>
                  <w:tcBorders>
                    <w:top w:val="none" w:color="000000" w:sz="4"/>
                    <w:left w:val="single" w:color="000000" w:sz="4"/>
                    <w:bottom w:val="single" w:color="000000" w:sz="4"/>
                    <w:right w:val="single" w:color="000000" w:sz="4"/>
                  </w:tcBorders>
                </w:tcPr>
                <w:p/>
              </w:tc>
              <w:tc>
                <w:tcPr>
                  <w:tcW w:type="dxa" w:w="1459"/>
                  <w:vMerge/>
                  <w:tcBorders>
                    <w:top w:val="none" w:color="000000" w:sz="4"/>
                    <w:left w:val="none" w:color="000000" w:sz="4"/>
                    <w:bottom w:val="single" w:color="000000" w:sz="4"/>
                    <w:right w:val="single" w:color="000000" w:sz="4"/>
                  </w:tcBorders>
                </w:tcPr>
                <w:p/>
              </w:tc>
              <w:tc>
                <w:tcPr>
                  <w:tcW w:type="dxa" w:w="956"/>
                  <w:vMerge/>
                  <w:tcBorders>
                    <w:top w:val="single" w:color="000000" w:sz="4"/>
                    <w:left w:val="none" w:color="000000" w:sz="4"/>
                    <w:bottom w:val="single" w:color="000000" w:sz="4"/>
                    <w:right w:val="single" w:color="000000" w:sz="4"/>
                  </w:tcBorders>
                </w:tcPr>
                <w:p/>
              </w:tc>
              <w:tc>
                <w:tcPr>
                  <w:tcW w:type="dxa" w:w="2242"/>
                  <w:gridSpan w:val="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color w:val="000000"/>
                    </w:rPr>
                    <w:t>口审核招标控制价（标底、预算价）</w:t>
                  </w:r>
                </w:p>
              </w:tc>
            </w:tr>
            <w:tr>
              <w:tc>
                <w:tcPr>
                  <w:tcW w:type="dxa" w:w="942"/>
                  <w:vMerge/>
                  <w:tcBorders>
                    <w:top w:val="none" w:color="000000" w:sz="4"/>
                    <w:left w:val="single" w:color="000000" w:sz="4"/>
                    <w:bottom w:val="single" w:color="000000" w:sz="4"/>
                    <w:right w:val="single" w:color="000000" w:sz="4"/>
                  </w:tcBorders>
                </w:tcPr>
                <w:p/>
              </w:tc>
              <w:tc>
                <w:tcPr>
                  <w:tcW w:type="dxa" w:w="1459"/>
                  <w:vMerge/>
                  <w:tcBorders>
                    <w:top w:val="none" w:color="000000" w:sz="4"/>
                    <w:left w:val="none" w:color="000000" w:sz="4"/>
                    <w:bottom w:val="single" w:color="000000" w:sz="4"/>
                    <w:right w:val="single" w:color="000000" w:sz="4"/>
                  </w:tcBorders>
                </w:tcPr>
                <w:p/>
              </w:tc>
              <w:tc>
                <w:tcPr>
                  <w:tcW w:type="dxa" w:w="956"/>
                  <w:vMerge/>
                  <w:tcBorders>
                    <w:top w:val="single" w:color="000000" w:sz="4"/>
                    <w:left w:val="none" w:color="000000" w:sz="4"/>
                    <w:bottom w:val="single" w:color="000000" w:sz="4"/>
                    <w:right w:val="single" w:color="000000" w:sz="4"/>
                  </w:tcBorders>
                </w:tcPr>
                <w:p/>
              </w:tc>
              <w:tc>
                <w:tcPr>
                  <w:tcW w:type="dxa" w:w="224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口审核结算</w:t>
                  </w:r>
                  <w:r>
                    <w:rPr>
                      <w:sz w:val="21"/>
                      <w:color w:val="000000"/>
                    </w:rPr>
                    <w:t xml:space="preserve">   </w:t>
                  </w:r>
                  <w:r>
                    <w:rPr>
                      <w:sz w:val="21"/>
                      <w:color w:val="000000"/>
                    </w:rPr>
                    <w:t>口其他业务</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评价人</w:t>
                  </w:r>
                </w:p>
              </w:tc>
              <w:tc>
                <w:tcPr>
                  <w:tcW w:type="dxa" w:w="24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电话</w:t>
                  </w:r>
                </w:p>
              </w:tc>
              <w:tc>
                <w:tcPr>
                  <w:tcW w:type="dxa" w:w="134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评价内容</w:t>
                  </w:r>
                </w:p>
              </w:tc>
              <w:tc>
                <w:tcPr>
                  <w:tcW w:type="dxa" w:w="134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评价及得分</w:t>
                  </w:r>
                </w:p>
              </w:tc>
            </w:tr>
            <w:tr>
              <w:tc>
                <w:tcPr>
                  <w:tcW w:type="dxa" w:w="9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（一）咨询合同履约情况</w:t>
                  </w:r>
                </w:p>
              </w:tc>
              <w:tc>
                <w:tcPr>
                  <w:tcW w:type="dxa" w:w="331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签有规范完整的咨询合同，合同双方的权利义务明确；按时、按质完成委托任务；在履约过程中，提出并实施了积极的、科学合理的措施，保证了咨询合同的有效实施。</w:t>
                  </w:r>
                </w:p>
              </w:tc>
              <w:tc>
                <w:tcPr>
                  <w:tcW w:type="dxa" w:w="8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优良</w:t>
                  </w:r>
                  <w:r>
                    <w:rPr>
                      <w:sz w:val="21"/>
                      <w:color w:val="000000"/>
                    </w:rPr>
                    <w:t>4-5分</w:t>
                  </w:r>
                </w:p>
              </w:tc>
              <w:tc>
                <w:tcPr>
                  <w:tcW w:type="dxa" w:w="5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42"/>
                  <w:vMerge/>
                  <w:tcBorders>
                    <w:top w:val="none" w:color="000000" w:sz="4"/>
                    <w:left w:val="single" w:color="000000" w:sz="4"/>
                    <w:bottom w:val="single" w:color="000000" w:sz="4"/>
                    <w:right w:val="single" w:color="000000" w:sz="4"/>
                  </w:tcBorders>
                </w:tcPr>
                <w:p/>
              </w:tc>
              <w:tc>
                <w:tcPr>
                  <w:tcW w:type="dxa" w:w="331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签有书面咨询合同；基本按合同要求完成委托任务。</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w:t>
                  </w:r>
                  <w:r>
                    <w:rPr>
                      <w:sz w:val="21"/>
                      <w:color w:val="000000"/>
                    </w:rPr>
                    <w:t>3-4分</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42"/>
                  <w:vMerge/>
                  <w:tcBorders>
                    <w:top w:val="none" w:color="000000" w:sz="4"/>
                    <w:left w:val="single" w:color="000000" w:sz="4"/>
                    <w:bottom w:val="single" w:color="000000" w:sz="4"/>
                    <w:right w:val="single" w:color="000000" w:sz="4"/>
                  </w:tcBorders>
                </w:tcPr>
                <w:p/>
              </w:tc>
              <w:tc>
                <w:tcPr>
                  <w:tcW w:type="dxa" w:w="331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无书面委托合同；未能按合同或委托人要求完成咨询任务</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差</w:t>
                  </w:r>
                  <w:r>
                    <w:rPr>
                      <w:sz w:val="21"/>
                      <w:color w:val="000000"/>
                    </w:rPr>
                    <w:t>0-3分</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（二）咨询成果文件质量</w:t>
                  </w:r>
                </w:p>
              </w:tc>
              <w:tc>
                <w:tcPr>
                  <w:tcW w:type="dxa" w:w="331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咨询成果文件的内容和深度满足使用者要求，且保证了相关工作的顺利实施。</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优良</w:t>
                  </w:r>
                  <w:r>
                    <w:rPr>
                      <w:sz w:val="21"/>
                      <w:color w:val="000000"/>
                    </w:rPr>
                    <w:t>4-5分</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42"/>
                  <w:vMerge/>
                  <w:tcBorders>
                    <w:top w:val="none" w:color="000000" w:sz="4"/>
                    <w:left w:val="single" w:color="000000" w:sz="4"/>
                    <w:bottom w:val="single" w:color="000000" w:sz="4"/>
                    <w:right w:val="single" w:color="000000" w:sz="4"/>
                  </w:tcBorders>
                </w:tcPr>
                <w:p/>
              </w:tc>
              <w:tc>
                <w:tcPr>
                  <w:tcW w:type="dxa" w:w="331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咨询成果文件内容基本完整，深度基本符合要求：有少量错漏，但不影响相关工作的顺利实施。</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w:t>
                  </w:r>
                  <w:r>
                    <w:rPr>
                      <w:sz w:val="21"/>
                      <w:color w:val="000000"/>
                    </w:rPr>
                    <w:t>3-4分</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42"/>
                  <w:vMerge/>
                  <w:tcBorders>
                    <w:top w:val="none" w:color="000000" w:sz="4"/>
                    <w:left w:val="single" w:color="000000" w:sz="4"/>
                    <w:bottom w:val="single" w:color="000000" w:sz="4"/>
                    <w:right w:val="single" w:color="000000" w:sz="4"/>
                  </w:tcBorders>
                </w:tcPr>
                <w:p/>
              </w:tc>
              <w:tc>
                <w:tcPr>
                  <w:tcW w:type="dxa" w:w="331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咨询成果内容不完整，深度未能满足委托人要求。</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差</w:t>
                  </w:r>
                  <w:r>
                    <w:rPr>
                      <w:sz w:val="21"/>
                      <w:color w:val="000000"/>
                    </w:rPr>
                    <w:t>0-3分</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（三）管理能力与规范服务</w:t>
                  </w:r>
                </w:p>
              </w:tc>
              <w:tc>
                <w:tcPr>
                  <w:tcW w:type="dxa" w:w="331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咨询项目有完整的实施计划，且措施得力；设有专职项目负责人；全过程服务及时、耐心，态度端正。</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优良</w:t>
                  </w:r>
                  <w:r>
                    <w:rPr>
                      <w:sz w:val="21"/>
                      <w:color w:val="000000"/>
                    </w:rPr>
                    <w:t>4-5分</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42"/>
                  <w:vMerge/>
                  <w:tcBorders>
                    <w:top w:val="none" w:color="000000" w:sz="4"/>
                    <w:left w:val="single" w:color="000000" w:sz="4"/>
                    <w:bottom w:val="single" w:color="000000" w:sz="4"/>
                    <w:right w:val="single" w:color="000000" w:sz="4"/>
                  </w:tcBorders>
                </w:tcPr>
                <w:p/>
              </w:tc>
              <w:tc>
                <w:tcPr>
                  <w:tcW w:type="dxa" w:w="331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咨询项目有相应的实施计划；设有专职项目负责人；提供全过程服务。</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w:t>
                  </w:r>
                  <w:r>
                    <w:rPr>
                      <w:sz w:val="21"/>
                      <w:color w:val="000000"/>
                    </w:rPr>
                    <w:t>3-4分</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42"/>
                  <w:vMerge/>
                  <w:tcBorders>
                    <w:top w:val="none" w:color="000000" w:sz="4"/>
                    <w:left w:val="single" w:color="000000" w:sz="4"/>
                    <w:bottom w:val="single" w:color="000000" w:sz="4"/>
                    <w:right w:val="single" w:color="000000" w:sz="4"/>
                  </w:tcBorders>
                </w:tcPr>
                <w:p/>
              </w:tc>
              <w:tc>
                <w:tcPr>
                  <w:tcW w:type="dxa" w:w="331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咨询项目无实施计划；无全程服务或服务质量差。</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差</w:t>
                  </w:r>
                  <w:r>
                    <w:rPr>
                      <w:sz w:val="21"/>
                      <w:color w:val="000000"/>
                    </w:rPr>
                    <w:t>0-3分</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4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（四）职业道德</w:t>
                  </w:r>
                </w:p>
              </w:tc>
              <w:tc>
                <w:tcPr>
                  <w:tcW w:type="dxa" w:w="331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严格遵守执业行为准则、职业道德准则；以质量、信誉参与市场竞争；坚持实事求是，为委托人的合法利益精心服务；严格保守执业中知悉的技术和商务秘密；同业互助，共同维护和促进本行业的职业道德和信誉。</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优良</w:t>
                  </w:r>
                  <w:r>
                    <w:rPr>
                      <w:sz w:val="21"/>
                      <w:color w:val="000000"/>
                    </w:rPr>
                    <w:t>4-5分</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42"/>
                  <w:vMerge/>
                  <w:tcBorders>
                    <w:top w:val="none" w:color="000000" w:sz="4"/>
                    <w:left w:val="single" w:color="000000" w:sz="4"/>
                    <w:bottom w:val="none" w:color="000000" w:sz="4"/>
                    <w:right w:val="single" w:color="000000" w:sz="4"/>
                  </w:tcBorders>
                </w:tcPr>
                <w:p/>
              </w:tc>
              <w:tc>
                <w:tcPr>
                  <w:tcW w:type="dxa" w:w="331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遵守执业行为准则、职业道德准则：认真按为客户服务。</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w:t>
                  </w:r>
                  <w:r>
                    <w:rPr>
                      <w:sz w:val="21"/>
                      <w:color w:val="000000"/>
                    </w:rPr>
                    <w:t>3-4分</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42"/>
                  <w:vMerge/>
                  <w:tcBorders>
                    <w:top w:val="none" w:color="000000" w:sz="4"/>
                    <w:left w:val="single" w:color="000000" w:sz="4"/>
                    <w:bottom w:val="none" w:color="000000" w:sz="4"/>
                    <w:right w:val="single" w:color="000000" w:sz="4"/>
                  </w:tcBorders>
                </w:tcPr>
                <w:p/>
              </w:tc>
              <w:tc>
                <w:tcPr>
                  <w:tcW w:type="dxa" w:w="331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违反执业行为准则、职业道德准则；以不正当的方式参与竞争：故意损害同行的声誉；未经客户允许，泄漏客户的技术和商业秘密。</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差</w:t>
                  </w:r>
                  <w:r>
                    <w:rPr>
                      <w:sz w:val="21"/>
                      <w:color w:val="000000"/>
                    </w:rPr>
                    <w:t>0-3分</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各项评分合计</w:t>
                  </w:r>
                </w:p>
              </w:tc>
              <w:tc>
                <w:tcPr>
                  <w:tcW w:type="dxa" w:w="134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评价总分（各项评分合计得分除以评价项数，再乘以</w:t>
                  </w:r>
                  <w:r>
                    <w:rPr>
                      <w:sz w:val="21"/>
                      <w:color w:val="000000"/>
                    </w:rPr>
                    <w:t>20）</w:t>
                  </w:r>
                </w:p>
              </w:tc>
              <w:tc>
                <w:tcPr>
                  <w:tcW w:type="dxa" w:w="134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53"/>
                  <w:gridSpan w:val="4"/>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color w:val="000000"/>
                    </w:rPr>
                    <w:t>评价单位（公章）：</w:t>
                  </w:r>
                </w:p>
              </w:tc>
              <w:tc>
                <w:tcPr>
                  <w:tcW w:type="dxa" w:w="1346"/>
                  <w:gridSpan w:val="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color w:val="000000"/>
                    </w:rPr>
                    <w:t>评价单位负责人：</w:t>
                  </w: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r>
                    <w:rPr>
                      <w:sz w:val="21"/>
                      <w:color w:val="000000"/>
                    </w:rPr>
                    <w:t xml:space="preserve">   </w:t>
                  </w:r>
                </w:p>
              </w:tc>
            </w:tr>
            <w:tr>
              <w:tc>
                <w:tcPr>
                  <w:tcW w:type="dxa" w:w="5599"/>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color w:val="000000"/>
                    </w:rPr>
                    <w:t>此表用于采购人对中标人的服务质量满意度的评价，每个评价项目都分为三级，分数确定：优良为</w:t>
                  </w:r>
                  <w:r>
                    <w:rPr>
                      <w:sz w:val="21"/>
                      <w:color w:val="000000"/>
                    </w:rPr>
                    <w:t>4-5分；一般为3-4分；差为0-3分，由评价人自主确定。总体评价得分由五分制换算为百分制。</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1.采购代理机构：本项目是指广东必鼎工程项目管理有限公司，负责整个采购活动的组织，依法负责编制和发布招标文件，对招标文件拥有最终的解释权，不以任何身份出任评标委员会成员。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佛山市顺德区杏坛镇财政和公有资产管理办公室</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3</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p>
            <w:pPr>
              <w:pStyle w:val="null3"/>
            </w:pPr>
            <w:r>
              <w:rPr/>
              <w:t>采购包2：折扣率</w:t>
            </w:r>
          </w:p>
          <w:p>
            <w:pPr>
              <w:pStyle w:val="null3"/>
            </w:pPr>
            <w:r>
              <w:rPr/>
              <w:t>采购包3：折扣率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p>
            <w:pPr>
              <w:pStyle w:val="null3"/>
            </w:pPr>
            <w:r>
              <w:rPr/>
              <w:t>采购包2：0% - 100%</w:t>
            </w:r>
          </w:p>
          <w:p>
            <w:pPr>
              <w:pStyle w:val="null3"/>
            </w:pPr>
            <w:r>
              <w:rPr/>
              <w:t>采购包3：0%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r>
              <w:rPr/>
              <w:t>采购包3：保证金人民币：0.00元整。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1）投标人可投标一个包组，也可同时投标多个包组，但只能中标一个包组，即兼投不兼中。（2）每个投标人最多只能被确定为1个包组的第一中标候选人。评标委员会按包组号由小到大的顺序评审，获得前面任意1个包组的第一中标候选人的投标人，如参加后面包组的投标，将不能通过后面包组的符合性审查。本项目的评审顺序按照包组号从小到大排序，即首先评审包组1、然后评审包组2，以此类推。本项目评审结束后，如个别包组出现改变排序或者重新评审或重新招标等改变中标结果的情形，其他包组的排序和评审结果均不作任何调整，且其他包组的中标候选人不再参与个别包组的重新评审或重新招标、不具有中标候选人推荐资格。</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采购机构代理服务收费标准：各包组中标人向采购代理机构缴纳招标代理服务费：¥7500.00元。</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请供应商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 （2）投标人须按评审标准提供相应的证明材料，如提供材料不清淅或不齐全的，不得分。 （3）中标人领取中标通知书时须将投标文件纸质版正本1份及副本1份送至采购代理机构处归档。其内容须与加密的电子投标文件内容一致（副本可以是正本的复印件，但须加盖中标人公章）。</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默认时长30分钟。如遇特殊情况（网络不畅、平台故障等），则按开标时现场工作人员通知为准。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p>
            <w:pPr>
              <w:pStyle w:val="null3"/>
              <w:jc w:val="left"/>
            </w:pPr>
            <w:r>
              <w:rPr/>
              <w:t>采购包3：面向中小企业，采购包专门预留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广东必鼎工程项目管理有限公司</w:t>
      </w:r>
      <w:r>
        <w:rPr/>
        <w:t>代收。具体操作要求详见</w:t>
      </w:r>
      <w:r>
        <w:rPr/>
        <w:t>广东必鼎工程项目管理有限公司</w:t>
      </w:r>
      <w:r>
        <w:rPr/>
        <w:t>有关指引，递交事宜请自行咨询</w:t>
      </w:r>
      <w:r>
        <w:rPr/>
        <w:t>广东必鼎工程项目管理有限公司</w:t>
      </w:r>
      <w:r>
        <w:rPr/>
        <w:t>；请各投标人在投标文件递交截止时间前按须知前附表规定的金额递交至</w:t>
      </w:r>
      <w:r>
        <w:rPr/>
        <w:t>广东必鼎工程项目管理有限公司</w:t>
      </w:r>
      <w:r>
        <w:rPr/>
        <w:t>，到账情况以开标时</w:t>
      </w:r>
      <w:r>
        <w:rPr/>
        <w:t>广东必鼎工程项目管理有限公司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广东省公共资源交易平台（佛山市）（https://ygp.gdzwfw.gov.cn/#/440600/index）及采购代理机构网站（https://www.gdbdzb.com/）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广东省公共资源交易平台（佛山市）（https://ygp.gdzwfw.gov.cn/#/440600/index）及采购代理机构网站（https://www.gdbdzb.com/）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广东必鼎工程项目管理有限公司</w:t>
      </w:r>
    </w:p>
    <w:p>
      <w:pPr>
        <w:pStyle w:val="null3"/>
        <w:ind w:firstLine="480"/>
      </w:pPr>
      <w:r>
        <w:rPr/>
        <w:t>电话：</w:t>
      </w:r>
      <w:r>
        <w:rPr/>
        <w:t>0757--82593498</w:t>
      </w:r>
    </w:p>
    <w:p>
      <w:pPr>
        <w:pStyle w:val="null3"/>
        <w:ind w:firstLine="480"/>
      </w:pPr>
      <w:r>
        <w:rPr/>
        <w:t>传真：</w:t>
      </w:r>
      <w:r>
        <w:rPr/>
        <w:t>/</w:t>
      </w:r>
    </w:p>
    <w:p>
      <w:pPr>
        <w:pStyle w:val="null3"/>
        <w:ind w:firstLine="480"/>
      </w:pPr>
      <w:r>
        <w:rPr/>
        <w:t>邮箱：</w:t>
      </w:r>
      <w:r>
        <w:rPr/>
        <w:t>bdzbsd@163.com</w:t>
      </w:r>
    </w:p>
    <w:p>
      <w:pPr>
        <w:pStyle w:val="null3"/>
        <w:ind w:firstLine="480"/>
      </w:pPr>
      <w:r>
        <w:rPr/>
        <w:t>地址：</w:t>
      </w:r>
      <w:r>
        <w:rPr/>
        <w:t>佛山市顺德区大良街道办事处逢沙村委会荟智路2号车创智谷广场1栋601单元</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话：0757-22831619、22831865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(2025-2026年杏坛镇工程造价评审服务项目（包组1）)：综合评分法,是指投标文件满足招标文件全部实质性要求，且按照评审因素的量化指标评审得分最高的投标人为中标候选人的评标方法。（最低报价不是中标的唯一依据。）</w:t>
      </w:r>
    </w:p>
    <w:p>
      <w:pPr>
        <w:pStyle w:val="null3"/>
      </w:pPr>
      <w:r>
        <w:rPr/>
        <w:t>采购包2(2025-2026年杏坛镇工程造价评审服务项目（包组2）)：综合评分法,是指投标文件满足招标文件全部实质性要求，且按照评审因素的量化指标评审得分最高的投标人为中标候选人的评标方法。（最低报价不是中标的唯一依据。）</w:t>
      </w:r>
    </w:p>
    <w:p>
      <w:pPr>
        <w:pStyle w:val="null3"/>
      </w:pPr>
      <w:r>
        <w:rPr/>
        <w:t>采购包3(2025-2026年杏坛镇工程造价评审服务项目（包组3）)：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广东必鼎工程项目管理有限公司</w:t>
      </w:r>
      <w:r>
        <w:rPr/>
        <w:t>统一对外发布。</w:t>
      </w:r>
    </w:p>
    <w:p>
      <w:pPr>
        <w:pStyle w:val="null3"/>
        <w:ind w:firstLine="480"/>
      </w:pPr>
      <w:r>
        <w:rPr/>
        <w:t>（2）对</w:t>
      </w:r>
      <w:r>
        <w:rPr/>
        <w:t>广东必鼎工程项目管理有限公司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采购包1（2025-2026年杏坛镇工程造价评审服务项目（包组1））：</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采购包2（2025-2026年杏坛镇工程造价评审服务项目（包组2））：</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采购包3（2025-2026年杏坛镇工程造价评审服务项目（包组3））：</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采购包1（2025-2026年杏坛镇工程造价评审服务项目（包组1））：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有效的营业执照（或事业单位法人证书，或社会团体法人登记证书，或其他具有独立承担民事责任的能力的有效证照）扫描件，如投标人为自然人的需提供自然人身份证明扫描件。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作为证明材料（见《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或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参照投标函相关承诺格式内容或提供《政府采购供应商资格信用承诺函》作为证明材料（见《政府采购供应商资格信用承诺函》）。 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采购包整体专门面向中小企业：参与的供应商服务全部由符合政策要求的中小企业承接（本项目属于服务类项目。服务由中小企业承接，即提供服务的人员为中小企业依照《中华人民共和国劳动合同法》订立劳动合同的从业人员）。【注：中小企业以供应商填写的《中小企业声明函》为判定标准（中小企业划型标准所属行业详见采购文件第二章），残疾人福利性单位以供应商填写的《残疾人福利性单位声明函》为判定标准，监狱企业须供应商提供由省级以上监狱管理局、戒毒管理局（含新疆生产建设兵团）出具的属于监狱企业的证明文件，否则不予认定。监狱企业、残疾人福利性单位视同小型、微型企业。】</w:t>
            </w:r>
          </w:p>
        </w:tc>
      </w:tr>
    </w:tbl>
    <w:p>
      <w:pPr>
        <w:pStyle w:val="null3"/>
      </w:pPr>
      <w:r>
        <w:rPr/>
        <w:t>采购包2（2025-2026年杏坛镇工程造价评审服务项目（包组2））：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有效的营业执照（或事业单位法人证书，或社会团体法人登记证书，或其他具有独立承担民事责任的能力的有效证照）扫描件，如投标人为自然人的需提供自然人身份证明扫描件。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作为证明材料（见《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或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参照投标函相关承诺格式内容或提供《政府采购供应商资格信用承诺函》作为证明材料（见《政府采购供应商资格信用承诺函》）。 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采购包整体专门面向中小企业：参与的供应商服务全部由符合政策要求的中小企业承接（本项目属于服务类项目。服务由中小企业承接，即提供服务的人员为中小企业依照《中华人民共和国劳动合同法》订立劳动合同的从业人员）。【注：中小企业以供应商填写的《中小企业声明函》为判定标准（中小企业划型标准所属行业详见采购文件第二章），残疾人福利性单位以供应商填写的《残疾人福利性单位声明函》为判定标准，监狱企业须供应商提供由省级以上监狱管理局、戒毒管理局（含新疆生产建设兵团）出具的属于监狱企业的证明文件，否则不予认定。监狱企业、残疾人福利性单位视同小型、微型企业。】</w:t>
            </w:r>
          </w:p>
        </w:tc>
      </w:tr>
    </w:tbl>
    <w:p>
      <w:pPr>
        <w:pStyle w:val="null3"/>
      </w:pPr>
      <w:r>
        <w:rPr/>
        <w:t>采购包3（2025-2026年杏坛镇工程造价评审服务项目（包组3））：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有效的营业执照（或事业单位法人证书，或社会团体法人登记证书，或其他具有独立承担民事责任的能力的有效证照）扫描件，如投标人为自然人的需提供自然人身份证明扫描件。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作为证明材料（见《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或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参照投标函相关承诺格式内容或提供《政府采购供应商资格信用承诺函》作为证明材料（见《政府采购供应商资格信用承诺函》）。 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采购包整体专门面向中小企业：参与的供应商服务全部由符合政策要求的中小企业承接（本项目属于服务类项目。服务由中小企业承接，即提供服务的人员为中小企业依照《中华人民共和国劳动合同法》订立劳动合同的从业人员）。【注：中小企业以供应商填写的《中小企业声明函》为判定标准（中小企业划型标准所属行业详见采购文件第二章），残疾人福利性单位以供应商填写的《残疾人福利性单位声明函》为判定标准，监狱企业须供应商提供由省级以上监狱管理局、戒毒管理局（含新疆生产建设兵团）出具的属于监狱企业的证明文件，否则不予认定。监狱企业、残疾人福利性单位视同小型、微型企业。】</w:t>
            </w:r>
          </w:p>
        </w:tc>
      </w:tr>
    </w:tbl>
    <w:p>
      <w:pPr>
        <w:pStyle w:val="null3"/>
        <w:ind w:firstLine="480"/>
      </w:pPr>
      <w:r>
        <w:rPr/>
        <w:t>表二符合性审查表：</w:t>
      </w:r>
    </w:p>
    <w:p>
      <w:pPr>
        <w:pStyle w:val="null3"/>
      </w:pPr>
      <w:r>
        <w:rPr/>
        <w:t>采购包1（2025-2026年杏坛镇工程造价评审服务项目（包组1））：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投标报价符合要求</w:t>
            </w:r>
          </w:p>
        </w:tc>
        <w:tc>
          <w:tcPr>
            <w:tcW w:type="dxa" w:w="4238"/>
          </w:tcPr>
          <w:p>
            <w:pPr>
              <w:pStyle w:val="null3"/>
            </w:pPr>
            <w:r>
              <w:rPr/>
              <w:t>1.投标（报价）折扣率是固定价且是唯一的，符合招标文件要求。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2.对标的没有报价漏项。3.如有报价修正的，投标人按规定要求书面确认。</w:t>
            </w:r>
          </w:p>
        </w:tc>
      </w:tr>
      <w:tr>
        <w:tc>
          <w:tcPr>
            <w:tcW w:type="dxa" w:w="890"/>
          </w:tcPr>
          <w:p>
            <w:pPr>
              <w:pStyle w:val="null3"/>
            </w:pPr>
            <w:r>
              <w:rPr/>
              <w:t>2</w:t>
            </w:r>
          </w:p>
        </w:tc>
        <w:tc>
          <w:tcPr>
            <w:tcW w:type="dxa" w:w="3178"/>
          </w:tcPr>
          <w:p>
            <w:pPr>
              <w:pStyle w:val="null3"/>
            </w:pPr>
            <w:r>
              <w:rPr/>
              <w:t>投标文件完整性</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3</w:t>
            </w:r>
          </w:p>
        </w:tc>
        <w:tc>
          <w:tcPr>
            <w:tcW w:type="dxa" w:w="3178"/>
          </w:tcPr>
          <w:p>
            <w:pPr>
              <w:pStyle w:val="null3"/>
            </w:pPr>
            <w:r>
              <w:rPr/>
              <w:t>“★”号条款完全响应</w:t>
            </w:r>
          </w:p>
        </w:tc>
        <w:tc>
          <w:tcPr>
            <w:tcW w:type="dxa" w:w="4238"/>
          </w:tcPr>
          <w:p>
            <w:pPr>
              <w:pStyle w:val="null3"/>
            </w:pPr>
            <w:r>
              <w:rPr/>
              <w:t>满足采购需求中标注有“★”号的条款。</w:t>
            </w:r>
          </w:p>
        </w:tc>
      </w:tr>
      <w:tr>
        <w:tc>
          <w:tcPr>
            <w:tcW w:type="dxa" w:w="890"/>
          </w:tcPr>
          <w:p>
            <w:pPr>
              <w:pStyle w:val="null3"/>
            </w:pPr>
            <w:r>
              <w:rPr/>
              <w:t>4</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5</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6</w:t>
            </w:r>
          </w:p>
        </w:tc>
        <w:tc>
          <w:tcPr>
            <w:tcW w:type="dxa" w:w="3178"/>
          </w:tcPr>
          <w:p>
            <w:pPr>
              <w:pStyle w:val="null3"/>
            </w:pPr>
            <w:r>
              <w:rPr/>
              <w:t>不存在其他无效投标、未实质性响应的情形</w:t>
            </w:r>
          </w:p>
        </w:tc>
        <w:tc>
          <w:tcPr>
            <w:tcW w:type="dxa" w:w="4238"/>
          </w:tcPr>
          <w:p>
            <w:pPr>
              <w:pStyle w:val="null3"/>
            </w:pPr>
            <w:r>
              <w:rPr/>
              <w:t>不存在其他无效投标、未实质性响应的情形。</w:t>
            </w:r>
          </w:p>
        </w:tc>
      </w:tr>
    </w:tbl>
    <w:p>
      <w:pPr>
        <w:pStyle w:val="null3"/>
      </w:pPr>
      <w:r>
        <w:rPr/>
        <w:t>采购包2（2025-2026年杏坛镇工程造价评审服务项目（包组2））：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投标报价符合要求</w:t>
            </w:r>
          </w:p>
        </w:tc>
        <w:tc>
          <w:tcPr>
            <w:tcW w:type="dxa" w:w="4238"/>
          </w:tcPr>
          <w:p>
            <w:pPr>
              <w:pStyle w:val="null3"/>
            </w:pPr>
            <w:r>
              <w:rPr/>
              <w:t>1.投标（报价）折扣率是固定价且是唯一的，符合招标文件要求。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2.对标的没有报价漏项。3.如有报价修正的，投标人按规定要求书面确认。</w:t>
            </w:r>
          </w:p>
        </w:tc>
      </w:tr>
      <w:tr>
        <w:tc>
          <w:tcPr>
            <w:tcW w:type="dxa" w:w="890"/>
          </w:tcPr>
          <w:p>
            <w:pPr>
              <w:pStyle w:val="null3"/>
            </w:pPr>
            <w:r>
              <w:rPr/>
              <w:t>2</w:t>
            </w:r>
          </w:p>
        </w:tc>
        <w:tc>
          <w:tcPr>
            <w:tcW w:type="dxa" w:w="3178"/>
          </w:tcPr>
          <w:p>
            <w:pPr>
              <w:pStyle w:val="null3"/>
            </w:pPr>
            <w:r>
              <w:rPr/>
              <w:t>投标文件完整性</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3</w:t>
            </w:r>
          </w:p>
        </w:tc>
        <w:tc>
          <w:tcPr>
            <w:tcW w:type="dxa" w:w="3178"/>
          </w:tcPr>
          <w:p>
            <w:pPr>
              <w:pStyle w:val="null3"/>
            </w:pPr>
            <w:r>
              <w:rPr/>
              <w:t>“★”号条款完全响应</w:t>
            </w:r>
          </w:p>
        </w:tc>
        <w:tc>
          <w:tcPr>
            <w:tcW w:type="dxa" w:w="4238"/>
          </w:tcPr>
          <w:p>
            <w:pPr>
              <w:pStyle w:val="null3"/>
            </w:pPr>
            <w:r>
              <w:rPr/>
              <w:t>满足采购需求中标注有“★”号的条款。</w:t>
            </w:r>
          </w:p>
        </w:tc>
      </w:tr>
      <w:tr>
        <w:tc>
          <w:tcPr>
            <w:tcW w:type="dxa" w:w="890"/>
          </w:tcPr>
          <w:p>
            <w:pPr>
              <w:pStyle w:val="null3"/>
            </w:pPr>
            <w:r>
              <w:rPr/>
              <w:t>4</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5</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6</w:t>
            </w:r>
          </w:p>
        </w:tc>
        <w:tc>
          <w:tcPr>
            <w:tcW w:type="dxa" w:w="3178"/>
          </w:tcPr>
          <w:p>
            <w:pPr>
              <w:pStyle w:val="null3"/>
            </w:pPr>
            <w:r>
              <w:rPr/>
              <w:t>不存在其他无效投标、未实质性响应的情形</w:t>
            </w:r>
          </w:p>
        </w:tc>
        <w:tc>
          <w:tcPr>
            <w:tcW w:type="dxa" w:w="4238"/>
          </w:tcPr>
          <w:p>
            <w:pPr>
              <w:pStyle w:val="null3"/>
            </w:pPr>
            <w:r>
              <w:rPr/>
              <w:t>不存在其他无效投标、未实质性响应的情形。</w:t>
            </w:r>
          </w:p>
        </w:tc>
      </w:tr>
      <w:tr>
        <w:tc>
          <w:tcPr>
            <w:tcW w:type="dxa" w:w="890"/>
          </w:tcPr>
          <w:p>
            <w:pPr>
              <w:pStyle w:val="null3"/>
            </w:pPr>
            <w:r>
              <w:rPr/>
              <w:t>7</w:t>
            </w:r>
          </w:p>
        </w:tc>
        <w:tc>
          <w:tcPr>
            <w:tcW w:type="dxa" w:w="3178"/>
          </w:tcPr>
          <w:p>
            <w:pPr>
              <w:pStyle w:val="null3"/>
            </w:pPr>
            <w:r>
              <w:rPr/>
              <w:t>是否获得其他采购包的中标候选人资格</w:t>
            </w:r>
          </w:p>
        </w:tc>
        <w:tc>
          <w:tcPr>
            <w:tcW w:type="dxa" w:w="4238"/>
          </w:tcPr>
          <w:p>
            <w:pPr>
              <w:pStyle w:val="null3"/>
            </w:pPr>
            <w:r>
              <w:rPr/>
              <w:t>已获得任一采购包的第一中标候选人资格的投标人，将不再参与余下采购包的评审且不具有余下采购包的中标候选人推荐资格，依此类推。</w:t>
            </w:r>
          </w:p>
        </w:tc>
      </w:tr>
    </w:tbl>
    <w:p>
      <w:pPr>
        <w:pStyle w:val="null3"/>
      </w:pPr>
      <w:r>
        <w:rPr/>
        <w:t>采购包3（2025-2026年杏坛镇工程造价评审服务项目（包组3））：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投标报价符合要求</w:t>
            </w:r>
          </w:p>
        </w:tc>
        <w:tc>
          <w:tcPr>
            <w:tcW w:type="dxa" w:w="4238"/>
          </w:tcPr>
          <w:p>
            <w:pPr>
              <w:pStyle w:val="null3"/>
            </w:pPr>
            <w:r>
              <w:rPr/>
              <w:t>1.投标（报价）折扣率是固定价且是唯一的，符合招标文件要求。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2.对标的没有报价漏项。3.如有报价修正的，投标人按规定要求书面确认。</w:t>
            </w:r>
          </w:p>
        </w:tc>
      </w:tr>
      <w:tr>
        <w:tc>
          <w:tcPr>
            <w:tcW w:type="dxa" w:w="890"/>
          </w:tcPr>
          <w:p>
            <w:pPr>
              <w:pStyle w:val="null3"/>
            </w:pPr>
            <w:r>
              <w:rPr/>
              <w:t>2</w:t>
            </w:r>
          </w:p>
        </w:tc>
        <w:tc>
          <w:tcPr>
            <w:tcW w:type="dxa" w:w="3178"/>
          </w:tcPr>
          <w:p>
            <w:pPr>
              <w:pStyle w:val="null3"/>
            </w:pPr>
            <w:r>
              <w:rPr/>
              <w:t>投标文件完整性</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3</w:t>
            </w:r>
          </w:p>
        </w:tc>
        <w:tc>
          <w:tcPr>
            <w:tcW w:type="dxa" w:w="3178"/>
          </w:tcPr>
          <w:p>
            <w:pPr>
              <w:pStyle w:val="null3"/>
            </w:pPr>
            <w:r>
              <w:rPr/>
              <w:t>“★”号条款完全响应</w:t>
            </w:r>
          </w:p>
        </w:tc>
        <w:tc>
          <w:tcPr>
            <w:tcW w:type="dxa" w:w="4238"/>
          </w:tcPr>
          <w:p>
            <w:pPr>
              <w:pStyle w:val="null3"/>
            </w:pPr>
            <w:r>
              <w:rPr/>
              <w:t>满足采购需求中标注有“★”号的条款。</w:t>
            </w:r>
          </w:p>
        </w:tc>
      </w:tr>
      <w:tr>
        <w:tc>
          <w:tcPr>
            <w:tcW w:type="dxa" w:w="890"/>
          </w:tcPr>
          <w:p>
            <w:pPr>
              <w:pStyle w:val="null3"/>
            </w:pPr>
            <w:r>
              <w:rPr/>
              <w:t>4</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5</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6</w:t>
            </w:r>
          </w:p>
        </w:tc>
        <w:tc>
          <w:tcPr>
            <w:tcW w:type="dxa" w:w="3178"/>
          </w:tcPr>
          <w:p>
            <w:pPr>
              <w:pStyle w:val="null3"/>
            </w:pPr>
            <w:r>
              <w:rPr/>
              <w:t>不存在其他无效投标、未实质性响应的情形</w:t>
            </w:r>
          </w:p>
        </w:tc>
        <w:tc>
          <w:tcPr>
            <w:tcW w:type="dxa" w:w="4238"/>
          </w:tcPr>
          <w:p>
            <w:pPr>
              <w:pStyle w:val="null3"/>
            </w:pPr>
            <w:r>
              <w:rPr/>
              <w:t>不存在其他无效投标、未实质性响应的情形。</w:t>
            </w:r>
          </w:p>
        </w:tc>
      </w:tr>
      <w:tr>
        <w:tc>
          <w:tcPr>
            <w:tcW w:type="dxa" w:w="890"/>
          </w:tcPr>
          <w:p>
            <w:pPr>
              <w:pStyle w:val="null3"/>
            </w:pPr>
            <w:r>
              <w:rPr/>
              <w:t>7</w:t>
            </w:r>
          </w:p>
        </w:tc>
        <w:tc>
          <w:tcPr>
            <w:tcW w:type="dxa" w:w="3178"/>
          </w:tcPr>
          <w:p>
            <w:pPr>
              <w:pStyle w:val="null3"/>
            </w:pPr>
            <w:r>
              <w:rPr/>
              <w:t>是否获得其他采购包的中标候选人资格</w:t>
            </w:r>
          </w:p>
        </w:tc>
        <w:tc>
          <w:tcPr>
            <w:tcW w:type="dxa" w:w="4238"/>
          </w:tcPr>
          <w:p>
            <w:pPr>
              <w:pStyle w:val="null3"/>
            </w:pPr>
            <w:r>
              <w:rPr/>
              <w:t>已获得任一采购包的第一中标候选人资格的投标人，将不再参与余下采购包的评审且不具有余下采购包的中标候选人推荐资格，依此类推。</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采购包1(2025-2026年杏坛镇工程造价评审服务项目（包组1）):</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技术部分35.0分</w:t>
            </w:r>
          </w:p>
          <w:p>
            <w:pPr>
              <w:pStyle w:val="null3"/>
            </w:pPr>
            <w:r>
              <w:rPr/>
              <w:t>报价得分40.0分</w:t>
            </w:r>
          </w:p>
        </w:tc>
      </w:tr>
      <w:tr>
        <w:tc>
          <w:tcPr>
            <w:tcW w:type="dxa" w:w="922"/>
            <w:gridSpan w:val="2"/>
            <w:vMerge w:val="restart"/>
          </w:tcPr>
          <w:p>
            <w:pPr>
              <w:pStyle w:val="null3"/>
              <w:jc w:val="center"/>
            </w:pPr>
            <w:r>
              <w:rPr/>
              <w:t>技术部分</w:t>
            </w:r>
          </w:p>
        </w:tc>
        <w:tc>
          <w:tcPr>
            <w:tcW w:type="dxa" w:w="2307"/>
          </w:tcPr>
          <w:p>
            <w:pPr>
              <w:pStyle w:val="null3"/>
              <w:jc w:val="left"/>
            </w:pPr>
            <w:r>
              <w:rPr/>
              <w:t>服务（技术）要求条款响应程度 (5.0分)</w:t>
            </w:r>
          </w:p>
        </w:tc>
        <w:tc>
          <w:tcPr>
            <w:tcW w:type="dxa" w:w="5076"/>
          </w:tcPr>
          <w:p>
            <w:pPr>
              <w:pStyle w:val="null3"/>
              <w:jc w:val="left"/>
            </w:pPr>
            <w:r>
              <w:rPr/>
              <w:t>能完全响应或优于服务（技术）要求（即服务内容、服务范围及要求、评审项目任务分配方法、具体服务要求、委托项目完成时间要求）全部条款得5分；无偏离或正偏离得1分/大项（该大项技术参数要求中存在某一条技术参数要求不满足，则该大项不得分），最高得5分。 注：须在《技术和服务要求响应表》中逐条进行填写。</w:t>
            </w:r>
          </w:p>
        </w:tc>
      </w:tr>
      <w:tr>
        <w:tc>
          <w:tcPr>
            <w:tcW w:type="dxa" w:w="922"/>
            <w:gridSpan w:val="2"/>
            <w:vMerge/>
          </w:tcPr>
          <w:p/>
        </w:tc>
        <w:tc>
          <w:tcPr>
            <w:tcW w:type="dxa" w:w="2307"/>
          </w:tcPr>
          <w:p>
            <w:pPr>
              <w:pStyle w:val="null3"/>
              <w:jc w:val="left"/>
            </w:pPr>
            <w:r>
              <w:rPr/>
              <w:t>应急预案 (8.0分)</w:t>
            </w:r>
            <w:r>
              <w:rPr/>
              <w:t>，（等次分值选择：</w:t>
            </w:r>
            <w:r>
              <w:rPr/>
              <w:t>0.0;</w:t>
            </w:r>
            <w:r>
              <w:rPr/>
              <w:t>2.0;</w:t>
            </w:r>
            <w:r>
              <w:rPr/>
              <w:t>5.0;</w:t>
            </w:r>
            <w:r>
              <w:rPr/>
              <w:t>8.0;</w:t>
            </w:r>
            <w:r>
              <w:rPr/>
              <w:t>）</w:t>
            </w:r>
          </w:p>
        </w:tc>
        <w:tc>
          <w:tcPr>
            <w:tcW w:type="dxa" w:w="5076"/>
          </w:tcPr>
          <w:p>
            <w:pPr>
              <w:pStyle w:val="null3"/>
              <w:jc w:val="left"/>
            </w:pPr>
            <w:r>
              <w:rPr/>
              <w:t>根据各投标人的应急预案（包括但不限于临时增加任务需求、任务加急处理工作安排等）进行综合评审： 1、应急预案科学全面，能有效解决临时增加任务需求，任务加急处理工作安排能有序推进，可行性高，得8分； 2、应急预案较科学全面，能较有效解决临时增加任务需求，任务加急处理工作安排上能较有序推进，可行性较高，得5分； 3、应急预案不够全面，能基本解决临时增加任务需求，可行性较差，得2分； 4、没有提供方案得0分。</w:t>
            </w:r>
          </w:p>
        </w:tc>
      </w:tr>
      <w:tr>
        <w:tc>
          <w:tcPr>
            <w:tcW w:type="dxa" w:w="922"/>
            <w:gridSpan w:val="2"/>
            <w:vMerge/>
          </w:tcPr>
          <w:p/>
        </w:tc>
        <w:tc>
          <w:tcPr>
            <w:tcW w:type="dxa" w:w="2307"/>
          </w:tcPr>
          <w:p>
            <w:pPr>
              <w:pStyle w:val="null3"/>
              <w:jc w:val="left"/>
            </w:pPr>
            <w:r>
              <w:rPr/>
              <w:t>拟派项目负责人 (5.0分)</w:t>
            </w:r>
          </w:p>
        </w:tc>
        <w:tc>
          <w:tcPr>
            <w:tcW w:type="dxa" w:w="5076"/>
          </w:tcPr>
          <w:p>
            <w:pPr>
              <w:pStyle w:val="null3"/>
              <w:jc w:val="left"/>
            </w:pPr>
            <w:r>
              <w:rPr/>
              <w:t>投标人拟派项目负责人（仅限1人）： 1、具有一级造价工程师（原注册造价工程师）资格的，得2分，本子项最高得2分； 2、具有工程类或工程经济类专业高级（或以上）职称的，得3分；具有工程类或工程经济类中级职称的，得1.5分，本子项最高得3分。 注：本项最高得5分。同一类证书按最高等级计算一次得分。同时提供相关证书扫描件及投标文件提交截止前6个月内任意一个月(扣除发布招标公告当月往前顺推)在投标单位为其缴纳社保证明文件扫描件。</w:t>
            </w:r>
          </w:p>
        </w:tc>
      </w:tr>
      <w:tr>
        <w:tc>
          <w:tcPr>
            <w:tcW w:type="dxa" w:w="922"/>
            <w:gridSpan w:val="2"/>
            <w:vMerge/>
          </w:tcPr>
          <w:p/>
        </w:tc>
        <w:tc>
          <w:tcPr>
            <w:tcW w:type="dxa" w:w="2307"/>
          </w:tcPr>
          <w:p>
            <w:pPr>
              <w:pStyle w:val="null3"/>
              <w:jc w:val="left"/>
            </w:pPr>
            <w:r>
              <w:rPr/>
              <w:t>拟投入团队实力（一） (4.0分)</w:t>
            </w:r>
          </w:p>
        </w:tc>
        <w:tc>
          <w:tcPr>
            <w:tcW w:type="dxa" w:w="5076"/>
          </w:tcPr>
          <w:p>
            <w:pPr>
              <w:pStyle w:val="null3"/>
              <w:jc w:val="left"/>
            </w:pPr>
            <w:r>
              <w:rPr/>
              <w:t>投标人拟投入本项目的一级造价工程师（原注册造价工程师）资格的人员（除项目负责人外），每提供一个得2分，本项最高得4分。 注：同一人同时具备多个专业造价师证书的不重复计算。同时提供相关证书扫描件及投标文件提交截止前6个月内任意一个月(扣除发布招标公告当月往前顺推)在投标单位为其缴纳社保证明等证明文件扫描件。</w:t>
            </w:r>
          </w:p>
        </w:tc>
      </w:tr>
      <w:tr>
        <w:tc>
          <w:tcPr>
            <w:tcW w:type="dxa" w:w="922"/>
            <w:gridSpan w:val="2"/>
            <w:vMerge/>
          </w:tcPr>
          <w:p/>
        </w:tc>
        <w:tc>
          <w:tcPr>
            <w:tcW w:type="dxa" w:w="2307"/>
          </w:tcPr>
          <w:p>
            <w:pPr>
              <w:pStyle w:val="null3"/>
              <w:jc w:val="left"/>
            </w:pPr>
            <w:r>
              <w:rPr/>
              <w:t>拟投入团队实力（二） (6.0分)</w:t>
            </w:r>
          </w:p>
        </w:tc>
        <w:tc>
          <w:tcPr>
            <w:tcW w:type="dxa" w:w="5076"/>
          </w:tcPr>
          <w:p>
            <w:pPr>
              <w:pStyle w:val="null3"/>
              <w:jc w:val="left"/>
            </w:pPr>
            <w:r>
              <w:rPr/>
              <w:t>投标人拟投入本项目的服务团队人员（除项目负责人外）具备工程类或工程经济类专业高级（或以上）职称的每人得3分，具备工程类或工程经济类中级职称的每人得1.5分，本项最高得6分。 注：一人多证不重复得分，同一类证书按最高等级计算一次得分。提供相关证书扫描件及投标文件提交截止前6个月内任意一个月(扣除发布招标公告当月往前顺推)在投标单位为其缴纳社保证明等证明文件扫描件。</w:t>
            </w:r>
          </w:p>
        </w:tc>
      </w:tr>
      <w:tr>
        <w:tc>
          <w:tcPr>
            <w:tcW w:type="dxa" w:w="922"/>
            <w:gridSpan w:val="2"/>
            <w:vMerge/>
          </w:tcPr>
          <w:p/>
        </w:tc>
        <w:tc>
          <w:tcPr>
            <w:tcW w:type="dxa" w:w="2307"/>
          </w:tcPr>
          <w:p>
            <w:pPr>
              <w:pStyle w:val="null3"/>
              <w:jc w:val="left"/>
            </w:pPr>
            <w:r>
              <w:rPr/>
              <w:t>拟投入团队实力（三） (7.0分)</w:t>
            </w:r>
          </w:p>
        </w:tc>
        <w:tc>
          <w:tcPr>
            <w:tcW w:type="dxa" w:w="5076"/>
          </w:tcPr>
          <w:p>
            <w:pPr>
              <w:pStyle w:val="null3"/>
              <w:jc w:val="left"/>
            </w:pPr>
            <w:r>
              <w:rPr/>
              <w:t>投标人拟投入本项目的服务团队人员（除项目负责人外）的职业资格专业类型包括以下类型之一：1）土建、2）安装、3）装饰、4）市政、5）园林绿化、6）公路桥梁、7）水利，每一类型得1分，本项最高得7分。 注：专业类型以执业注册证或职称证或原造价员证专业为准。同一人同时具备多个专业类型证书的不可重复计分。同时提供相关证书扫描件及投标文件提交截止前6个月内任意一个月(扣除发布招标公告当月往前顺推)在投标单位为其缴纳社保证明等证明文件扫描件。</w:t>
            </w:r>
          </w:p>
        </w:tc>
      </w:tr>
      <w:tr>
        <w:tc>
          <w:tcPr>
            <w:tcW w:type="dxa" w:w="922"/>
            <w:gridSpan w:val="2"/>
            <w:vMerge w:val="restart"/>
          </w:tcPr>
          <w:p>
            <w:pPr>
              <w:pStyle w:val="null3"/>
              <w:jc w:val="center"/>
            </w:pPr>
            <w:r>
              <w:rPr/>
              <w:t>商务部分</w:t>
            </w:r>
          </w:p>
        </w:tc>
        <w:tc>
          <w:tcPr>
            <w:tcW w:type="dxa" w:w="2307"/>
          </w:tcPr>
          <w:p>
            <w:pPr>
              <w:pStyle w:val="null3"/>
              <w:jc w:val="left"/>
            </w:pPr>
            <w:r>
              <w:rPr/>
              <w:t>体系认证证书 (3.0分)</w:t>
            </w:r>
          </w:p>
        </w:tc>
        <w:tc>
          <w:tcPr>
            <w:tcW w:type="dxa" w:w="5076"/>
          </w:tcPr>
          <w:p>
            <w:pPr>
              <w:pStyle w:val="null3"/>
              <w:jc w:val="left"/>
            </w:pPr>
            <w:r>
              <w:rPr/>
              <w:t>投标人具有有效的： 1、质量管理体系认证证书，得1分； 2、环境管理体系认证证书，得1分； 3、职业健康安全管理体系认证证书，得1分； 注：本项最高得3分。同时提供证书复印件及全国认证认可信息网（http://cx.cnca.cn）查询“有效”截图作为证明材料，已失效或暂停或撤销或不提供不得分。由于成立时间不足导致不能办理相应认证证书的，投标人提供认证机构出具的“成立时间不足，不能办理认证”的书面证明材料，可得相应得分。</w:t>
            </w:r>
          </w:p>
        </w:tc>
      </w:tr>
      <w:tr>
        <w:tc>
          <w:tcPr>
            <w:tcW w:type="dxa" w:w="922"/>
            <w:gridSpan w:val="2"/>
            <w:vMerge/>
          </w:tcPr>
          <w:p/>
        </w:tc>
        <w:tc>
          <w:tcPr>
            <w:tcW w:type="dxa" w:w="2307"/>
          </w:tcPr>
          <w:p>
            <w:pPr>
              <w:pStyle w:val="null3"/>
              <w:jc w:val="left"/>
            </w:pPr>
            <w:r>
              <w:rPr/>
              <w:t>同类项目业绩 (20.0分)</w:t>
            </w:r>
          </w:p>
        </w:tc>
        <w:tc>
          <w:tcPr>
            <w:tcW w:type="dxa" w:w="5076"/>
          </w:tcPr>
          <w:p>
            <w:pPr>
              <w:pStyle w:val="null3"/>
              <w:jc w:val="left"/>
            </w:pPr>
            <w:r>
              <w:rPr/>
              <w:t>投标人自2021年1月1日至投标截止日前（以合同签订时间为准），以投标人名义承接的估算或概算或预算或结算评审项目业绩，每个得2分，最高得20分。（由评委会认定是否符合得分条件） 注：提供合同扫描件作为证明材料。证明材料不齐全、不清晰、无法辨认的不得分。</w:t>
            </w:r>
          </w:p>
        </w:tc>
      </w:tr>
      <w:tr>
        <w:tc>
          <w:tcPr>
            <w:tcW w:type="dxa" w:w="922"/>
            <w:gridSpan w:val="2"/>
            <w:vMerge/>
          </w:tcPr>
          <w:p/>
        </w:tc>
        <w:tc>
          <w:tcPr>
            <w:tcW w:type="dxa" w:w="2307"/>
          </w:tcPr>
          <w:p>
            <w:pPr>
              <w:pStyle w:val="null3"/>
              <w:jc w:val="left"/>
            </w:pPr>
            <w:r>
              <w:rPr/>
              <w:t>响应时间 (2.0分)</w:t>
            </w:r>
            <w:r>
              <w:rPr/>
              <w:t>，（等次分值选择：</w:t>
            </w:r>
            <w:r>
              <w:rPr/>
              <w:t>0.0;</w:t>
            </w:r>
            <w:r>
              <w:rPr/>
              <w:t>0.5;</w:t>
            </w:r>
            <w:r>
              <w:rPr/>
              <w:t>1.0;</w:t>
            </w:r>
            <w:r>
              <w:rPr/>
              <w:t>2.0;</w:t>
            </w:r>
            <w:r>
              <w:rPr/>
              <w:t>）</w:t>
            </w:r>
          </w:p>
        </w:tc>
        <w:tc>
          <w:tcPr>
            <w:tcW w:type="dxa" w:w="5076"/>
          </w:tcPr>
          <w:p>
            <w:pPr>
              <w:pStyle w:val="null3"/>
              <w:jc w:val="left"/>
            </w:pPr>
            <w:r>
              <w:rPr/>
              <w:t>投标人自接到采购人有关评审项目的问题反馈服务通知起，按投标人的响应（应答）时间计算： 1、响应（应答）时间≤4小时，得2分； 2、4小时＜响应（应答）时间≤8小时，得1分； 3、8小时＜响应（应答）时间，得0.5分 注：提供承诺函，格式自拟。</w:t>
            </w:r>
          </w:p>
        </w:tc>
      </w:tr>
      <w:tr>
        <w:tc>
          <w:tcPr>
            <w:tcW w:type="dxa" w:w="922"/>
            <w:gridSpan w:val="2"/>
          </w:tcPr>
          <w:p>
            <w:pPr>
              <w:pStyle w:val="null3"/>
              <w:jc w:val="center"/>
            </w:pPr>
            <w:r>
              <w:rPr/>
              <w:t>投标报价</w:t>
            </w:r>
          </w:p>
        </w:tc>
        <w:tc>
          <w:tcPr>
            <w:tcW w:type="dxa" w:w="2307"/>
          </w:tcPr>
          <w:p>
            <w:pPr>
              <w:pStyle w:val="null3"/>
              <w:jc w:val="left"/>
            </w:pPr>
            <w:r>
              <w:rPr/>
              <w:t>投标报价得分 (40.0分)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pPr>
      <w:r>
        <w:rPr/>
        <w:t>采购包2(2025-2026年杏坛镇工程造价评审服务项目（包组2）):</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技术部分35.0分</w:t>
            </w:r>
          </w:p>
          <w:p>
            <w:pPr>
              <w:pStyle w:val="null3"/>
            </w:pPr>
            <w:r>
              <w:rPr/>
              <w:t>报价得分40.0分</w:t>
            </w:r>
          </w:p>
        </w:tc>
      </w:tr>
      <w:tr>
        <w:tc>
          <w:tcPr>
            <w:tcW w:type="dxa" w:w="922"/>
            <w:gridSpan w:val="2"/>
            <w:vMerge w:val="restart"/>
          </w:tcPr>
          <w:p>
            <w:pPr>
              <w:pStyle w:val="null3"/>
              <w:jc w:val="center"/>
            </w:pPr>
            <w:r>
              <w:rPr/>
              <w:t>技术部分</w:t>
            </w:r>
          </w:p>
        </w:tc>
        <w:tc>
          <w:tcPr>
            <w:tcW w:type="dxa" w:w="2307"/>
          </w:tcPr>
          <w:p>
            <w:pPr>
              <w:pStyle w:val="null3"/>
              <w:jc w:val="left"/>
            </w:pPr>
            <w:r>
              <w:rPr/>
              <w:t>服务（技术）要求条款响应程度 (5.0分)</w:t>
            </w:r>
          </w:p>
        </w:tc>
        <w:tc>
          <w:tcPr>
            <w:tcW w:type="dxa" w:w="5076"/>
          </w:tcPr>
          <w:p>
            <w:pPr>
              <w:pStyle w:val="null3"/>
              <w:jc w:val="left"/>
            </w:pPr>
            <w:r>
              <w:rPr/>
              <w:t>能完全响应或优于服务（技术）要求（即服务内容、服务范围及要求、评审项目任务分配方法、具体服务要求、委托项目完成时间要求）全部条款得5分；无偏离或正偏离得1分/大项（该大项技术参数要求中存在某一条技术参数要求不满足，则该大项不得分），最高得5分。 注：须在《技术和服务要求响应表》中逐条进行填写。</w:t>
            </w:r>
          </w:p>
        </w:tc>
      </w:tr>
      <w:tr>
        <w:tc>
          <w:tcPr>
            <w:tcW w:type="dxa" w:w="922"/>
            <w:gridSpan w:val="2"/>
            <w:vMerge/>
          </w:tcPr>
          <w:p/>
        </w:tc>
        <w:tc>
          <w:tcPr>
            <w:tcW w:type="dxa" w:w="2307"/>
          </w:tcPr>
          <w:p>
            <w:pPr>
              <w:pStyle w:val="null3"/>
              <w:jc w:val="left"/>
            </w:pPr>
            <w:r>
              <w:rPr/>
              <w:t>应急预案 (8.0分)</w:t>
            </w:r>
            <w:r>
              <w:rPr/>
              <w:t>，（等次分值选择：</w:t>
            </w:r>
            <w:r>
              <w:rPr/>
              <w:t>0.0;</w:t>
            </w:r>
            <w:r>
              <w:rPr/>
              <w:t>2.0;</w:t>
            </w:r>
            <w:r>
              <w:rPr/>
              <w:t>5.0;</w:t>
            </w:r>
            <w:r>
              <w:rPr/>
              <w:t>8.0;</w:t>
            </w:r>
            <w:r>
              <w:rPr/>
              <w:t>）</w:t>
            </w:r>
          </w:p>
        </w:tc>
        <w:tc>
          <w:tcPr>
            <w:tcW w:type="dxa" w:w="5076"/>
          </w:tcPr>
          <w:p>
            <w:pPr>
              <w:pStyle w:val="null3"/>
              <w:jc w:val="left"/>
            </w:pPr>
            <w:r>
              <w:rPr/>
              <w:t>根据各投标人的应急预案（包括但不限于临时增加任务需求、任务加急处理工作安排等）进行综合评审： 1、应急预案科学全面，能有效解决临时增加任务需求，任务加急处理工作安排能有序推进，可行性高，得8分； 2、应急预案较科学全面，能较有效解决临时增加任务需求，任务加急处理工作安排上能较有序推进，可行性较高，得5分； 3、应急预案不够全面，能基本解决临时增加任务需求，可行性较差，得2分； 4、没有提供方案得0分。</w:t>
            </w:r>
          </w:p>
        </w:tc>
      </w:tr>
      <w:tr>
        <w:tc>
          <w:tcPr>
            <w:tcW w:type="dxa" w:w="922"/>
            <w:gridSpan w:val="2"/>
            <w:vMerge/>
          </w:tcPr>
          <w:p/>
        </w:tc>
        <w:tc>
          <w:tcPr>
            <w:tcW w:type="dxa" w:w="2307"/>
          </w:tcPr>
          <w:p>
            <w:pPr>
              <w:pStyle w:val="null3"/>
              <w:jc w:val="left"/>
            </w:pPr>
            <w:r>
              <w:rPr/>
              <w:t>拟派项目负责人 (5.0分)</w:t>
            </w:r>
          </w:p>
        </w:tc>
        <w:tc>
          <w:tcPr>
            <w:tcW w:type="dxa" w:w="5076"/>
          </w:tcPr>
          <w:p>
            <w:pPr>
              <w:pStyle w:val="null3"/>
              <w:jc w:val="left"/>
            </w:pPr>
            <w:r>
              <w:rPr/>
              <w:t>投标人拟派项目负责人（仅限1人）： 1、具有一级造价工程师（原注册造价工程师）资格的，得2分，本子项最高得2分； 2、具有工程类或工程经济类专业高级（或以上）职称的，得3分；具有工程类或工程经济类中级职称的，得1.5分，本子项最高得3分。 注：本项最高得5分。同一类证书按最高等级计算一次得分。同时提供相关证书扫描件及投标文件提交截止前6个月内任意一个月(扣除发布招标公告当月往前顺推)在投标单位为其缴纳社保证明文件扫描件。</w:t>
            </w:r>
          </w:p>
        </w:tc>
      </w:tr>
      <w:tr>
        <w:tc>
          <w:tcPr>
            <w:tcW w:type="dxa" w:w="922"/>
            <w:gridSpan w:val="2"/>
            <w:vMerge/>
          </w:tcPr>
          <w:p/>
        </w:tc>
        <w:tc>
          <w:tcPr>
            <w:tcW w:type="dxa" w:w="2307"/>
          </w:tcPr>
          <w:p>
            <w:pPr>
              <w:pStyle w:val="null3"/>
              <w:jc w:val="left"/>
            </w:pPr>
            <w:r>
              <w:rPr/>
              <w:t>拟投入团队实力（一） (4.0分)</w:t>
            </w:r>
          </w:p>
        </w:tc>
        <w:tc>
          <w:tcPr>
            <w:tcW w:type="dxa" w:w="5076"/>
          </w:tcPr>
          <w:p>
            <w:pPr>
              <w:pStyle w:val="null3"/>
              <w:jc w:val="left"/>
            </w:pPr>
            <w:r>
              <w:rPr/>
              <w:t>投标人拟投入本项目的一级造价工程师（原注册造价工程师）资格的人员（除项目负责人外），每提供一个得2分，本项最高得4分。 注：同一人同时具备多个专业造价师证书的不重复计算。同时提供相关证书扫描件及投标文件提交截止前6个月内任意一个月(扣除发布招标公告当月往前顺推)在投标单位为其缴纳社保证明等证明文件扫描件。</w:t>
            </w:r>
          </w:p>
        </w:tc>
      </w:tr>
      <w:tr>
        <w:tc>
          <w:tcPr>
            <w:tcW w:type="dxa" w:w="922"/>
            <w:gridSpan w:val="2"/>
            <w:vMerge/>
          </w:tcPr>
          <w:p/>
        </w:tc>
        <w:tc>
          <w:tcPr>
            <w:tcW w:type="dxa" w:w="2307"/>
          </w:tcPr>
          <w:p>
            <w:pPr>
              <w:pStyle w:val="null3"/>
              <w:jc w:val="left"/>
            </w:pPr>
            <w:r>
              <w:rPr/>
              <w:t>拟投入团队实力（二） (6.0分)</w:t>
            </w:r>
          </w:p>
        </w:tc>
        <w:tc>
          <w:tcPr>
            <w:tcW w:type="dxa" w:w="5076"/>
          </w:tcPr>
          <w:p>
            <w:pPr>
              <w:pStyle w:val="null3"/>
              <w:jc w:val="left"/>
            </w:pPr>
            <w:r>
              <w:rPr/>
              <w:t>投标人拟投入本项目的服务团队人员（除项目负责人外）具备工程类或工程经济类专业高级（或以上）职称的每人得3分，具备工程类或工程经济类中级职称的每人得1.5分，本项最高得6分。 注：一人多证不重复得分，同一类证书按最高等级计算一次得分。提供相关证书扫描件及投标文件提交截止前6个月内任意一个月(扣除发布招标公告当月往前顺推)在投标单位为其缴纳社保证明等证明文件扫描件。</w:t>
            </w:r>
          </w:p>
        </w:tc>
      </w:tr>
      <w:tr>
        <w:tc>
          <w:tcPr>
            <w:tcW w:type="dxa" w:w="922"/>
            <w:gridSpan w:val="2"/>
            <w:vMerge/>
          </w:tcPr>
          <w:p/>
        </w:tc>
        <w:tc>
          <w:tcPr>
            <w:tcW w:type="dxa" w:w="2307"/>
          </w:tcPr>
          <w:p>
            <w:pPr>
              <w:pStyle w:val="null3"/>
              <w:jc w:val="left"/>
            </w:pPr>
            <w:r>
              <w:rPr/>
              <w:t>拟投入团队实力（三） (7.0分)</w:t>
            </w:r>
          </w:p>
        </w:tc>
        <w:tc>
          <w:tcPr>
            <w:tcW w:type="dxa" w:w="5076"/>
          </w:tcPr>
          <w:p>
            <w:pPr>
              <w:pStyle w:val="null3"/>
              <w:jc w:val="left"/>
            </w:pPr>
            <w:r>
              <w:rPr/>
              <w:t>投标人拟投入本项目的服务团队人员（除项目负责人外）的职业资格专业类型包括以下类型之一：1）土建、2）安装、3）装饰、4）市政、5）园林绿化、6）公路桥梁、7）水利，每一类型得1分，本项最高得7分。 注：专业类型以执业注册证或职称证或原造价员证专业为准。同一人同时具备多个专业类型证书的不可重复计分。同时提供相关证书扫描件及投标文件提交截止前6个月内任意一个月(扣除发布招标公告当月往前顺推)在投标单位为其缴纳社保证明等证明文件扫描件。</w:t>
            </w:r>
          </w:p>
        </w:tc>
      </w:tr>
      <w:tr>
        <w:tc>
          <w:tcPr>
            <w:tcW w:type="dxa" w:w="922"/>
            <w:gridSpan w:val="2"/>
            <w:vMerge w:val="restart"/>
          </w:tcPr>
          <w:p>
            <w:pPr>
              <w:pStyle w:val="null3"/>
              <w:jc w:val="center"/>
            </w:pPr>
            <w:r>
              <w:rPr/>
              <w:t>商务部分</w:t>
            </w:r>
          </w:p>
        </w:tc>
        <w:tc>
          <w:tcPr>
            <w:tcW w:type="dxa" w:w="2307"/>
          </w:tcPr>
          <w:p>
            <w:pPr>
              <w:pStyle w:val="null3"/>
              <w:jc w:val="left"/>
            </w:pPr>
            <w:r>
              <w:rPr/>
              <w:t>体系认证证书 (3.0分)</w:t>
            </w:r>
          </w:p>
        </w:tc>
        <w:tc>
          <w:tcPr>
            <w:tcW w:type="dxa" w:w="5076"/>
          </w:tcPr>
          <w:p>
            <w:pPr>
              <w:pStyle w:val="null3"/>
              <w:jc w:val="left"/>
            </w:pPr>
            <w:r>
              <w:rPr/>
              <w:t>投标人具有有效的： 1、质量管理体系认证证书，得1分； 2、环境管理体系认证证书，得1分； 3、职业健康安全管理体系认证证书，得1分； 注：本项最高得3分。同时提供证书复印件及全国认证认可信息网（http://cx.cnca.cn）查询“有效”截图作为证明材料，已失效或暂停或撤销或不提供不得分。由于成立时间不足导致不能办理相应认证证书的，投标人提供认证机构出具的“成立时间不足，不能办理认证”的书面证明材料，可得相应得分。</w:t>
            </w:r>
          </w:p>
        </w:tc>
      </w:tr>
      <w:tr>
        <w:tc>
          <w:tcPr>
            <w:tcW w:type="dxa" w:w="922"/>
            <w:gridSpan w:val="2"/>
            <w:vMerge/>
          </w:tcPr>
          <w:p/>
        </w:tc>
        <w:tc>
          <w:tcPr>
            <w:tcW w:type="dxa" w:w="2307"/>
          </w:tcPr>
          <w:p>
            <w:pPr>
              <w:pStyle w:val="null3"/>
              <w:jc w:val="left"/>
            </w:pPr>
            <w:r>
              <w:rPr/>
              <w:t>同类项目业绩 (20.0分)</w:t>
            </w:r>
          </w:p>
        </w:tc>
        <w:tc>
          <w:tcPr>
            <w:tcW w:type="dxa" w:w="5076"/>
          </w:tcPr>
          <w:p>
            <w:pPr>
              <w:pStyle w:val="null3"/>
              <w:jc w:val="left"/>
            </w:pPr>
            <w:r>
              <w:rPr/>
              <w:t>投标人自2021年1月1日至投标截止日前（以合同签订时间为准），以投标人名义承接的估算或概算或预算或结算评审项目业绩，每个得2分，最高得20分。（由评委会认定是否符合得分条件） 注：提供合同扫描件作为证明材料。证明材料不齐全、不清晰、无法辨认的不得分。</w:t>
            </w:r>
          </w:p>
        </w:tc>
      </w:tr>
      <w:tr>
        <w:tc>
          <w:tcPr>
            <w:tcW w:type="dxa" w:w="922"/>
            <w:gridSpan w:val="2"/>
            <w:vMerge/>
          </w:tcPr>
          <w:p/>
        </w:tc>
        <w:tc>
          <w:tcPr>
            <w:tcW w:type="dxa" w:w="2307"/>
          </w:tcPr>
          <w:p>
            <w:pPr>
              <w:pStyle w:val="null3"/>
              <w:jc w:val="left"/>
            </w:pPr>
            <w:r>
              <w:rPr/>
              <w:t>响应时间 (2.0分)</w:t>
            </w:r>
            <w:r>
              <w:rPr/>
              <w:t>，（等次分值选择：</w:t>
            </w:r>
            <w:r>
              <w:rPr/>
              <w:t>0.0;</w:t>
            </w:r>
            <w:r>
              <w:rPr/>
              <w:t>0.5;</w:t>
            </w:r>
            <w:r>
              <w:rPr/>
              <w:t>1.0;</w:t>
            </w:r>
            <w:r>
              <w:rPr/>
              <w:t>2.0;</w:t>
            </w:r>
            <w:r>
              <w:rPr/>
              <w:t>）</w:t>
            </w:r>
          </w:p>
        </w:tc>
        <w:tc>
          <w:tcPr>
            <w:tcW w:type="dxa" w:w="5076"/>
          </w:tcPr>
          <w:p>
            <w:pPr>
              <w:pStyle w:val="null3"/>
              <w:jc w:val="left"/>
            </w:pPr>
            <w:r>
              <w:rPr/>
              <w:t>投标人自接到采购人有关评审项目的问题反馈服务通知起，按投标人的响应（应答）时间计算： 1、响应（应答）时间≤4小时，得2分； 2、4小时＜响应（应答）时间≤8小时，得1分； 3、8小时＜响应（应答）时间，得0.5分 注：提供承诺函，格式自拟。</w:t>
            </w:r>
          </w:p>
        </w:tc>
      </w:tr>
      <w:tr>
        <w:tc>
          <w:tcPr>
            <w:tcW w:type="dxa" w:w="922"/>
            <w:gridSpan w:val="2"/>
          </w:tcPr>
          <w:p>
            <w:pPr>
              <w:pStyle w:val="null3"/>
              <w:jc w:val="center"/>
            </w:pPr>
            <w:r>
              <w:rPr/>
              <w:t>投标报价</w:t>
            </w:r>
          </w:p>
        </w:tc>
        <w:tc>
          <w:tcPr>
            <w:tcW w:type="dxa" w:w="2307"/>
          </w:tcPr>
          <w:p>
            <w:pPr>
              <w:pStyle w:val="null3"/>
              <w:jc w:val="left"/>
            </w:pPr>
            <w:r>
              <w:rPr/>
              <w:t>投标报价得分 (40.0分)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pPr>
      <w:r>
        <w:rPr/>
        <w:t>采购包3(2025-2026年杏坛镇工程造价评审服务项目（包组3）):</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技术部分35.0分</w:t>
            </w:r>
          </w:p>
          <w:p>
            <w:pPr>
              <w:pStyle w:val="null3"/>
            </w:pPr>
            <w:r>
              <w:rPr/>
              <w:t>报价得分40.0分</w:t>
            </w:r>
          </w:p>
        </w:tc>
      </w:tr>
      <w:tr>
        <w:tc>
          <w:tcPr>
            <w:tcW w:type="dxa" w:w="922"/>
            <w:gridSpan w:val="2"/>
            <w:vMerge w:val="restart"/>
          </w:tcPr>
          <w:p>
            <w:pPr>
              <w:pStyle w:val="null3"/>
              <w:jc w:val="center"/>
            </w:pPr>
            <w:r>
              <w:rPr/>
              <w:t>技术部分</w:t>
            </w:r>
          </w:p>
        </w:tc>
        <w:tc>
          <w:tcPr>
            <w:tcW w:type="dxa" w:w="2307"/>
          </w:tcPr>
          <w:p>
            <w:pPr>
              <w:pStyle w:val="null3"/>
              <w:jc w:val="left"/>
            </w:pPr>
            <w:r>
              <w:rPr/>
              <w:t>服务（技术）要求条款响应程度 (5.0分)</w:t>
            </w:r>
          </w:p>
        </w:tc>
        <w:tc>
          <w:tcPr>
            <w:tcW w:type="dxa" w:w="5076"/>
          </w:tcPr>
          <w:p>
            <w:pPr>
              <w:pStyle w:val="null3"/>
              <w:jc w:val="left"/>
            </w:pPr>
            <w:r>
              <w:rPr/>
              <w:t>能完全响应或优于服务（技术）要求（即服务内容、服务范围及要求、评审项目任务分配方法、具体服务要求、委托项目完成时间要求）全部条款得5分；无偏离或正偏离得1分/大项（该大项技术参数要求中存在某一条技术参数要求不满足，则该大项不得分），最高得5分。 注：须在《技术和服务要求响应表》中逐条进行填写。</w:t>
            </w:r>
          </w:p>
        </w:tc>
      </w:tr>
      <w:tr>
        <w:tc>
          <w:tcPr>
            <w:tcW w:type="dxa" w:w="922"/>
            <w:gridSpan w:val="2"/>
            <w:vMerge/>
          </w:tcPr>
          <w:p/>
        </w:tc>
        <w:tc>
          <w:tcPr>
            <w:tcW w:type="dxa" w:w="2307"/>
          </w:tcPr>
          <w:p>
            <w:pPr>
              <w:pStyle w:val="null3"/>
              <w:jc w:val="left"/>
            </w:pPr>
            <w:r>
              <w:rPr/>
              <w:t>应急预案 (8.0分)</w:t>
            </w:r>
            <w:r>
              <w:rPr/>
              <w:t>，（等次分值选择：</w:t>
            </w:r>
            <w:r>
              <w:rPr/>
              <w:t>0.0;</w:t>
            </w:r>
            <w:r>
              <w:rPr/>
              <w:t>2.0;</w:t>
            </w:r>
            <w:r>
              <w:rPr/>
              <w:t>5.0;</w:t>
            </w:r>
            <w:r>
              <w:rPr/>
              <w:t>8.0;</w:t>
            </w:r>
            <w:r>
              <w:rPr/>
              <w:t>）</w:t>
            </w:r>
          </w:p>
        </w:tc>
        <w:tc>
          <w:tcPr>
            <w:tcW w:type="dxa" w:w="5076"/>
          </w:tcPr>
          <w:p>
            <w:pPr>
              <w:pStyle w:val="null3"/>
              <w:jc w:val="left"/>
            </w:pPr>
            <w:r>
              <w:rPr/>
              <w:t>根据各投标人的应急预案（包括但不限于临时增加任务需求、任务加急处理工作安排等）进行综合评审： 1、应急预案科学全面，能有效解决临时增加任务需求，任务加急处理工作安排能有序推进，可行性高，得8分； 2、应急预案较科学全面，能较有效解决临时增加任务需求，任务加急处理工作安排上能较有序推进，可行性较高，得5分； 3、应急预案不够全面，能基本解决临时增加任务需求，可行性较差，得2分； 4、没有提供方案得0分。</w:t>
            </w:r>
          </w:p>
        </w:tc>
      </w:tr>
      <w:tr>
        <w:tc>
          <w:tcPr>
            <w:tcW w:type="dxa" w:w="922"/>
            <w:gridSpan w:val="2"/>
            <w:vMerge/>
          </w:tcPr>
          <w:p/>
        </w:tc>
        <w:tc>
          <w:tcPr>
            <w:tcW w:type="dxa" w:w="2307"/>
          </w:tcPr>
          <w:p>
            <w:pPr>
              <w:pStyle w:val="null3"/>
              <w:jc w:val="left"/>
            </w:pPr>
            <w:r>
              <w:rPr/>
              <w:t>拟派项目负责人 (5.0分)</w:t>
            </w:r>
          </w:p>
        </w:tc>
        <w:tc>
          <w:tcPr>
            <w:tcW w:type="dxa" w:w="5076"/>
          </w:tcPr>
          <w:p>
            <w:pPr>
              <w:pStyle w:val="null3"/>
              <w:jc w:val="left"/>
            </w:pPr>
            <w:r>
              <w:rPr/>
              <w:t>投标人拟派项目负责人（仅限1人）： 1、具有一级造价工程师（原注册造价工程师）资格的，得2分，本子项最高得2分； 2、具有工程类或工程经济类专业高级（或以上）职称的，得3分；具有工程类或工程经济类中级职称的，得1.5分，本子项最高得3分。 注：本项最高得5分。同一类证书按最高等级计算一次得分。同时提供相关证书扫描件及投标文件提交截止前6个月内任意一个月(扣除发布招标公告当月往前顺推)在投标单位为其缴纳社保证明文件扫描件。</w:t>
            </w:r>
          </w:p>
        </w:tc>
      </w:tr>
      <w:tr>
        <w:tc>
          <w:tcPr>
            <w:tcW w:type="dxa" w:w="922"/>
            <w:gridSpan w:val="2"/>
            <w:vMerge/>
          </w:tcPr>
          <w:p/>
        </w:tc>
        <w:tc>
          <w:tcPr>
            <w:tcW w:type="dxa" w:w="2307"/>
          </w:tcPr>
          <w:p>
            <w:pPr>
              <w:pStyle w:val="null3"/>
              <w:jc w:val="left"/>
            </w:pPr>
            <w:r>
              <w:rPr/>
              <w:t>拟投入团队实力（一） (4.0分)</w:t>
            </w:r>
          </w:p>
        </w:tc>
        <w:tc>
          <w:tcPr>
            <w:tcW w:type="dxa" w:w="5076"/>
          </w:tcPr>
          <w:p>
            <w:pPr>
              <w:pStyle w:val="null3"/>
              <w:jc w:val="left"/>
            </w:pPr>
            <w:r>
              <w:rPr/>
              <w:t>投标人拟投入本项目的一级造价工程师（原注册造价工程师）资格的人员（除项目负责人外），每提供一个得2分，本项最高得4分。 注：同一人同时具备多个专业造价师证书的不重复计算。同时提供相关证书扫描件及投标文件提交截止前6个月内任意一个月(扣除发布招标公告当月往前顺推)在投标单位为其缴纳社保证明等证明文件扫描件。</w:t>
            </w:r>
          </w:p>
        </w:tc>
      </w:tr>
      <w:tr>
        <w:tc>
          <w:tcPr>
            <w:tcW w:type="dxa" w:w="922"/>
            <w:gridSpan w:val="2"/>
            <w:vMerge/>
          </w:tcPr>
          <w:p/>
        </w:tc>
        <w:tc>
          <w:tcPr>
            <w:tcW w:type="dxa" w:w="2307"/>
          </w:tcPr>
          <w:p>
            <w:pPr>
              <w:pStyle w:val="null3"/>
              <w:jc w:val="left"/>
            </w:pPr>
            <w:r>
              <w:rPr/>
              <w:t>拟投入团队实力（二） (6.0分)</w:t>
            </w:r>
          </w:p>
        </w:tc>
        <w:tc>
          <w:tcPr>
            <w:tcW w:type="dxa" w:w="5076"/>
          </w:tcPr>
          <w:p>
            <w:pPr>
              <w:pStyle w:val="null3"/>
              <w:jc w:val="left"/>
            </w:pPr>
            <w:r>
              <w:rPr/>
              <w:t>投标人拟投入本项目的服务团队人员（除项目负责人外）具备工程类或工程经济类专业高级（或以上）职称的每人得3分，具备工程类或工程经济类中级职称的每人得1.5分，本项最高得6分。 注：一人多证不重复得分，同一类证书按最高等级计算一次得分。提供相关证书扫描件及投标文件提交截止前6个月内任意一个月(扣除发布招标公告当月往前顺推)在投标单位为其缴纳社保证明等证明文件扫描件。</w:t>
            </w:r>
          </w:p>
        </w:tc>
      </w:tr>
      <w:tr>
        <w:tc>
          <w:tcPr>
            <w:tcW w:type="dxa" w:w="922"/>
            <w:gridSpan w:val="2"/>
            <w:vMerge/>
          </w:tcPr>
          <w:p/>
        </w:tc>
        <w:tc>
          <w:tcPr>
            <w:tcW w:type="dxa" w:w="2307"/>
          </w:tcPr>
          <w:p>
            <w:pPr>
              <w:pStyle w:val="null3"/>
              <w:jc w:val="left"/>
            </w:pPr>
            <w:r>
              <w:rPr/>
              <w:t>拟投入团队实力（三） (7.0分)</w:t>
            </w:r>
          </w:p>
        </w:tc>
        <w:tc>
          <w:tcPr>
            <w:tcW w:type="dxa" w:w="5076"/>
          </w:tcPr>
          <w:p>
            <w:pPr>
              <w:pStyle w:val="null3"/>
              <w:jc w:val="left"/>
            </w:pPr>
            <w:r>
              <w:rPr/>
              <w:t>投标人拟投入本项目的服务团队人员（除项目负责人外）的职业资格专业类型包括以下类型之一：1）土建、2）安装、3）装饰、4）市政、5）园林绿化、6）公路桥梁、7）水利，每一类型得1分，本项最高得7分。 注：专业类型以执业注册证或职称证或原造价员证专业为准。同一人同时具备多个专业类型证书的不可重复计分。同时提供相关证书扫描件及投标文件提交截止前6个月内任意一个月(扣除发布招标公告当月往前顺推)在投标单位为其缴纳社保证明等证明文件扫描件。</w:t>
            </w:r>
          </w:p>
        </w:tc>
      </w:tr>
      <w:tr>
        <w:tc>
          <w:tcPr>
            <w:tcW w:type="dxa" w:w="922"/>
            <w:gridSpan w:val="2"/>
            <w:vMerge w:val="restart"/>
          </w:tcPr>
          <w:p>
            <w:pPr>
              <w:pStyle w:val="null3"/>
              <w:jc w:val="center"/>
            </w:pPr>
            <w:r>
              <w:rPr/>
              <w:t>商务部分</w:t>
            </w:r>
          </w:p>
        </w:tc>
        <w:tc>
          <w:tcPr>
            <w:tcW w:type="dxa" w:w="2307"/>
          </w:tcPr>
          <w:p>
            <w:pPr>
              <w:pStyle w:val="null3"/>
              <w:jc w:val="left"/>
            </w:pPr>
            <w:r>
              <w:rPr/>
              <w:t>体系认证证书 (3.0分)</w:t>
            </w:r>
          </w:p>
        </w:tc>
        <w:tc>
          <w:tcPr>
            <w:tcW w:type="dxa" w:w="5076"/>
          </w:tcPr>
          <w:p>
            <w:pPr>
              <w:pStyle w:val="null3"/>
              <w:jc w:val="left"/>
            </w:pPr>
            <w:r>
              <w:rPr/>
              <w:t>投标人具有有效的： 1、质量管理体系认证证书，得1分； 2、环境管理体系认证证书，得1分； 3、职业健康安全管理体系认证证书，得1分； 注：本项最高得3分。同时提供证书复印件及全国认证认可信息网（http://cx.cnca.cn）查询“有效”截图作为证明材料，已失效或暂停或撤销或不提供不得分。由于成立时间不足导致不能办理相应认证证书的，投标人提供认证机构出具的“成立时间不足，不能办理认证”的书面证明材料，可得相应得分。</w:t>
            </w:r>
          </w:p>
        </w:tc>
      </w:tr>
      <w:tr>
        <w:tc>
          <w:tcPr>
            <w:tcW w:type="dxa" w:w="922"/>
            <w:gridSpan w:val="2"/>
            <w:vMerge/>
          </w:tcPr>
          <w:p/>
        </w:tc>
        <w:tc>
          <w:tcPr>
            <w:tcW w:type="dxa" w:w="2307"/>
          </w:tcPr>
          <w:p>
            <w:pPr>
              <w:pStyle w:val="null3"/>
              <w:jc w:val="left"/>
            </w:pPr>
            <w:r>
              <w:rPr/>
              <w:t>同类项目业绩 (20.0分)</w:t>
            </w:r>
          </w:p>
        </w:tc>
        <w:tc>
          <w:tcPr>
            <w:tcW w:type="dxa" w:w="5076"/>
          </w:tcPr>
          <w:p>
            <w:pPr>
              <w:pStyle w:val="null3"/>
              <w:jc w:val="left"/>
            </w:pPr>
            <w:r>
              <w:rPr/>
              <w:t>投标人自2021年1月1日至投标截止日前（以合同签订时间为准），以投标人名义承接的估算或概算或预算或结算评审项目业绩，每个得2分，最高得20分。（由评委会认定是否符合得分条件） 注：提供合同扫描件作为证明材料。证明材料不齐全、不清晰、无法辨认的不得分。</w:t>
            </w:r>
          </w:p>
        </w:tc>
      </w:tr>
      <w:tr>
        <w:tc>
          <w:tcPr>
            <w:tcW w:type="dxa" w:w="922"/>
            <w:gridSpan w:val="2"/>
            <w:vMerge/>
          </w:tcPr>
          <w:p/>
        </w:tc>
        <w:tc>
          <w:tcPr>
            <w:tcW w:type="dxa" w:w="2307"/>
          </w:tcPr>
          <w:p>
            <w:pPr>
              <w:pStyle w:val="null3"/>
              <w:jc w:val="left"/>
            </w:pPr>
            <w:r>
              <w:rPr/>
              <w:t>响应时间 (2.0分)</w:t>
            </w:r>
            <w:r>
              <w:rPr/>
              <w:t>，（等次分值选择：</w:t>
            </w:r>
            <w:r>
              <w:rPr/>
              <w:t>0.0;</w:t>
            </w:r>
            <w:r>
              <w:rPr/>
              <w:t>0.5;</w:t>
            </w:r>
            <w:r>
              <w:rPr/>
              <w:t>1.0;</w:t>
            </w:r>
            <w:r>
              <w:rPr/>
              <w:t>2.0;</w:t>
            </w:r>
            <w:r>
              <w:rPr/>
              <w:t>）</w:t>
            </w:r>
          </w:p>
        </w:tc>
        <w:tc>
          <w:tcPr>
            <w:tcW w:type="dxa" w:w="5076"/>
          </w:tcPr>
          <w:p>
            <w:pPr>
              <w:pStyle w:val="null3"/>
              <w:jc w:val="left"/>
            </w:pPr>
            <w:r>
              <w:rPr/>
              <w:t>投标人自接到采购人有关评审项目的问题反馈服务通知起，按投标人的响应（应答）时间计算： 1、响应（应答）时间≤4小时，得2分； 2、4小时＜响应（应答）时间≤8小时，得1分； 3、8小时＜响应（应答）时间，得0.5分 注：提供承诺函，格式自拟。</w:t>
            </w:r>
          </w:p>
        </w:tc>
      </w:tr>
      <w:tr>
        <w:tc>
          <w:tcPr>
            <w:tcW w:type="dxa" w:w="922"/>
            <w:gridSpan w:val="2"/>
          </w:tcPr>
          <w:p>
            <w:pPr>
              <w:pStyle w:val="null3"/>
              <w:jc w:val="center"/>
            </w:pPr>
            <w:r>
              <w:rPr/>
              <w:t>投标报价</w:t>
            </w:r>
          </w:p>
        </w:tc>
        <w:tc>
          <w:tcPr>
            <w:tcW w:type="dxa" w:w="2307"/>
          </w:tcPr>
          <w:p>
            <w:pPr>
              <w:pStyle w:val="null3"/>
              <w:jc w:val="left"/>
            </w:pPr>
            <w:r>
              <w:rPr/>
              <w:t>投标报价得分 (40.0分)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rPr>
        <w:t>佛山市政府采购项目</w:t>
      </w:r>
    </w:p>
    <w:p>
      <w:pPr>
        <w:pStyle w:val="null3"/>
        <w:jc w:val="center"/>
      </w:pPr>
      <w:r>
        <w:rPr>
          <w:sz w:val="68"/>
        </w:rPr>
        <w:t>合同书</w:t>
      </w:r>
    </w:p>
    <w:p>
      <w:pPr>
        <w:pStyle w:val="null3"/>
        <w:jc w:val="center"/>
      </w:pPr>
      <w:r>
        <w:rPr>
          <w:sz w:val="21"/>
        </w:rPr>
        <w:t xml:space="preserve"> </w:t>
      </w:r>
    </w:p>
    <w:p>
      <w:pPr>
        <w:pStyle w:val="null3"/>
        <w:jc w:val="center"/>
      </w:pPr>
      <w:r>
        <w:rPr>
          <w:sz w:val="21"/>
        </w:rPr>
        <w:t xml:space="preserve"> </w:t>
      </w:r>
    </w:p>
    <w:p>
      <w:pPr>
        <w:pStyle w:val="null3"/>
        <w:jc w:val="center"/>
      </w:pPr>
      <w:r>
        <w:rPr>
          <w:sz w:val="24"/>
          <w:b/>
        </w:rPr>
        <w:t>项目编号：</w:t>
      </w:r>
      <w:r>
        <w:rPr>
          <w:sz w:val="21"/>
          <w:b/>
        </w:rPr>
        <w:t xml:space="preserve"> </w:t>
      </w:r>
      <w:r>
        <w:rPr>
          <w:sz w:val="24"/>
          <w:b/>
        </w:rPr>
        <w:t>440606-2024-09541</w:t>
      </w:r>
    </w:p>
    <w:p>
      <w:pPr>
        <w:pStyle w:val="null3"/>
        <w:jc w:val="left"/>
      </w:pPr>
      <w:r>
        <w:rPr>
          <w:sz w:val="24"/>
          <w:b/>
        </w:rPr>
        <w:t>项目名称：</w:t>
      </w:r>
      <w:r>
        <w:rPr>
          <w:sz w:val="21"/>
          <w:b/>
        </w:rPr>
        <w:t xml:space="preserve"> </w:t>
      </w:r>
      <w:r>
        <w:rPr>
          <w:sz w:val="24"/>
          <w:b/>
        </w:rPr>
        <w:t>2025-2026</w:t>
      </w:r>
      <w:r>
        <w:rPr>
          <w:sz w:val="24"/>
          <w:b/>
        </w:rPr>
        <w:t>年杏坛镇工程造价评审服务项目</w:t>
      </w:r>
    </w:p>
    <w:p>
      <w:pPr>
        <w:pStyle w:val="null3"/>
        <w:ind w:firstLine="482"/>
        <w:jc w:val="both"/>
      </w:pPr>
      <w:r>
        <w:rPr>
          <w:sz w:val="21"/>
        </w:rPr>
        <w:t xml:space="preserve"> </w:t>
      </w:r>
    </w:p>
    <w:p>
      <w:pPr>
        <w:pStyle w:val="null3"/>
        <w:ind w:firstLine="482"/>
        <w:jc w:val="both"/>
      </w:pPr>
      <w:r>
        <w:rPr>
          <w:sz w:val="21"/>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2268"/>
        <w:gridCol w:w="6038"/>
      </w:tblGrid>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甲</w:t>
            </w:r>
            <w:r>
              <w:rPr>
                <w:sz w:val="28"/>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u w:val="single"/>
              </w:rPr>
              <w:t xml:space="preserve"> </w:t>
            </w:r>
            <w:r>
              <w:rPr>
                <w:sz w:val="28"/>
                <w:u w:val="single"/>
              </w:rPr>
              <w:t>佛山市顺德区杏坛镇财政和公有资产管理办公室</w:t>
            </w:r>
            <w:r>
              <w:rPr>
                <w:sz w:val="21"/>
                <w:u w:val="single"/>
              </w:rPr>
              <w:t xml:space="preserve"> </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乙</w:t>
            </w:r>
            <w:r>
              <w:rPr>
                <w:sz w:val="28"/>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（中标人名称）</w:t>
            </w:r>
            <w:r>
              <w:rPr>
                <w:sz w:val="28"/>
                <w:u w:val="single"/>
              </w:rPr>
              <w:t xml:space="preserve">   </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签订日期：</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u w:val="single"/>
              </w:rPr>
              <w:t xml:space="preserve">       </w:t>
            </w:r>
            <w:r>
              <w:rPr>
                <w:sz w:val="28"/>
                <w:u w:val="single"/>
              </w:rPr>
              <w:t>年</w:t>
            </w:r>
            <w:r>
              <w:rPr>
                <w:sz w:val="21"/>
                <w:u w:val="single"/>
              </w:rPr>
              <w:t xml:space="preserve">   </w:t>
            </w:r>
            <w:r>
              <w:rPr>
                <w:sz w:val="28"/>
                <w:u w:val="single"/>
              </w:rPr>
              <w:t>月</w:t>
            </w:r>
            <w:r>
              <w:rPr>
                <w:sz w:val="21"/>
                <w:u w:val="single"/>
              </w:rPr>
              <w:t xml:space="preserve">    </w:t>
            </w:r>
            <w:r>
              <w:rPr>
                <w:sz w:val="28"/>
                <w:u w:val="single"/>
              </w:rPr>
              <w:t>日</w:t>
            </w:r>
            <w:r>
              <w:rPr>
                <w:sz w:val="28"/>
                <w:u w:val="single"/>
              </w:rPr>
              <w:t xml:space="preserve">     </w:t>
            </w:r>
          </w:p>
        </w:tc>
      </w:tr>
    </w:tbl>
    <w:p>
      <w:pPr>
        <w:pStyle w:val="null3"/>
        <w:jc w:val="both"/>
      </w:pPr>
      <w:r>
        <w:rPr>
          <w:sz w:val="21"/>
        </w:rPr>
        <w:t xml:space="preserve"> </w:t>
      </w:r>
    </w:p>
    <w:p>
      <w:pPr>
        <w:pStyle w:val="null3"/>
        <w:jc w:val="both"/>
      </w:pPr>
      <w:r>
        <w:rPr/>
        <w:t xml:space="preserve"> </w:t>
      </w:r>
    </w:p>
    <w:p>
      <w:pPr>
        <w:pStyle w:val="null3"/>
        <w:jc w:val="center"/>
      </w:pPr>
      <w:r>
        <w:rPr>
          <w:sz w:val="44"/>
          <w:b/>
        </w:rPr>
        <w:t>佛山市政府采购项目合同书</w:t>
      </w:r>
    </w:p>
    <w:p>
      <w:pPr>
        <w:pStyle w:val="null3"/>
        <w:jc w:val="both"/>
      </w:pPr>
      <w:r>
        <w:rPr>
          <w:sz w:val="21"/>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637"/>
        <w:gridCol w:w="6669"/>
      </w:tblGrid>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项目名称：</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2025-2026</w:t>
            </w:r>
            <w:r>
              <w:rPr>
                <w:sz w:val="21"/>
              </w:rPr>
              <w:t>年杏坛镇工程造价评审服务项目</w:t>
            </w:r>
          </w:p>
        </w:tc>
      </w:tr>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项目编号：</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440606-2024-09541</w:t>
            </w:r>
          </w:p>
        </w:tc>
      </w:tr>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甲</w:t>
            </w:r>
            <w:r>
              <w:rPr>
                <w:sz w:val="21"/>
                <w:b/>
              </w:rPr>
              <w:t>方：</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r>
              <w:rPr>
                <w:sz w:val="21"/>
              </w:rPr>
              <w:t>佛山市顺德区杏坛镇财政和公有资产管理办公室</w:t>
            </w:r>
          </w:p>
        </w:tc>
      </w:tr>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w:t>
            </w:r>
            <w:r>
              <w:rPr>
                <w:sz w:val="21"/>
                <w:b/>
              </w:rPr>
              <w:t>方：</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（乙方名称）</w:t>
            </w:r>
            <w:r>
              <w:rPr>
                <w:sz w:val="21"/>
              </w:rPr>
              <w:t xml:space="preserve">                              </w:t>
            </w:r>
          </w:p>
        </w:tc>
      </w:tr>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合同性质：</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本合同为中小企业预留合同</w:t>
            </w:r>
          </w:p>
        </w:tc>
      </w:tr>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采购包号：</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bl>
    <w:p>
      <w:pPr>
        <w:pStyle w:val="null3"/>
        <w:jc w:val="both"/>
      </w:pPr>
      <w:r>
        <w:rPr>
          <w:sz w:val="21"/>
        </w:rPr>
        <w:t>根据《中华人民共和国政府采购法》、《中华人民共和国民法典》和本项目</w:t>
      </w:r>
      <w:r>
        <w:rPr>
          <w:sz w:val="21"/>
          <w:color w:val="000000"/>
        </w:rPr>
        <w:t>招标文件</w:t>
      </w:r>
      <w:r>
        <w:rPr>
          <w:sz w:val="21"/>
        </w:rPr>
        <w:t>的要求，经双方协商，本着平等互利和诚实信用的原则，一致同意签订本合同如下。</w:t>
      </w:r>
    </w:p>
    <w:p>
      <w:pPr>
        <w:pStyle w:val="null3"/>
        <w:jc w:val="both"/>
      </w:pPr>
      <w:r>
        <w:rPr>
          <w:sz w:val="21"/>
          <w:b/>
        </w:rPr>
        <w:t>一、项目主要内容及实现功能目标：</w:t>
      </w:r>
    </w:p>
    <w:p>
      <w:pPr>
        <w:pStyle w:val="null3"/>
        <w:jc w:val="both"/>
      </w:pPr>
      <w:r>
        <w:rPr>
          <w:sz w:val="21"/>
          <w:b/>
        </w:rPr>
        <w:t>（一）服务内容</w:t>
      </w:r>
    </w:p>
    <w:p>
      <w:pPr>
        <w:pStyle w:val="null3"/>
        <w:ind w:firstLine="420"/>
        <w:jc w:val="both"/>
      </w:pPr>
      <w:r>
        <w:rPr>
          <w:sz w:val="21"/>
        </w:rPr>
        <w:t>为加强财政投资工程预结算评审工作的管理，提高评审审核质量和效率，结合工作实际，按公开、公平、公正的原则，对评审机构进行招标，择优确定高素质、高质量和高效率的评审机构参与甲方委托的工程预结算审核工作，具体的评审工作按甲方的规章制度或文件要求开展。</w:t>
      </w:r>
    </w:p>
    <w:p>
      <w:pPr>
        <w:pStyle w:val="null3"/>
        <w:jc w:val="both"/>
      </w:pPr>
      <w:r>
        <w:rPr>
          <w:sz w:val="21"/>
          <w:b/>
        </w:rPr>
        <w:t>（二）服务范围及要求</w:t>
      </w:r>
    </w:p>
    <w:p>
      <w:pPr>
        <w:pStyle w:val="null3"/>
        <w:jc w:val="both"/>
      </w:pPr>
      <w:r>
        <w:rPr>
          <w:sz w:val="21"/>
        </w:rPr>
        <w:t>1.</w:t>
      </w:r>
      <w:r>
        <w:rPr>
          <w:sz w:val="21"/>
        </w:rPr>
        <w:t>杏坛镇范围内使用</w:t>
      </w:r>
      <w:r>
        <w:rPr>
          <w:sz w:val="21"/>
        </w:rPr>
        <w:t>镇财政性资金</w:t>
      </w:r>
      <w:r>
        <w:rPr>
          <w:sz w:val="21"/>
        </w:rPr>
        <w:t>且工程估算达到人民币</w:t>
      </w:r>
      <w:r>
        <w:rPr>
          <w:sz w:val="21"/>
        </w:rPr>
        <w:t>1000</w:t>
      </w:r>
      <w:r>
        <w:rPr>
          <w:sz w:val="21"/>
        </w:rPr>
        <w:t>万元或以上、概算、招标控制价（合同价）、结算，变更达到人民币</w:t>
      </w:r>
      <w:r>
        <w:rPr>
          <w:sz w:val="21"/>
        </w:rPr>
        <w:t>100</w:t>
      </w:r>
      <w:r>
        <w:rPr>
          <w:sz w:val="21"/>
        </w:rPr>
        <w:t>万元或以上的房屋建筑和市政公用工程、水利工程、送配电、园林绿化工程等。注</w:t>
      </w:r>
      <w:r>
        <w:rPr>
          <w:sz w:val="21"/>
        </w:rPr>
        <w:t xml:space="preserve">: </w:t>
      </w:r>
      <w:r>
        <w:rPr>
          <w:sz w:val="21"/>
        </w:rPr>
        <w:t>结算、变更评审项目金额可能包括人民币</w:t>
      </w:r>
      <w:r>
        <w:rPr>
          <w:sz w:val="21"/>
        </w:rPr>
        <w:t>10</w:t>
      </w:r>
      <w:r>
        <w:rPr>
          <w:sz w:val="21"/>
        </w:rPr>
        <w:t>万元以上项目。具体服务范围以实际委托为准。</w:t>
      </w:r>
    </w:p>
    <w:p>
      <w:pPr>
        <w:pStyle w:val="null3"/>
        <w:jc w:val="both"/>
      </w:pPr>
      <w:r>
        <w:rPr>
          <w:sz w:val="21"/>
        </w:rPr>
        <w:t>2.</w:t>
      </w:r>
      <w:r>
        <w:rPr>
          <w:sz w:val="21"/>
        </w:rPr>
        <w:t>项目估算、概算、预算审核：</w:t>
      </w:r>
    </w:p>
    <w:p>
      <w:pPr>
        <w:pStyle w:val="null3"/>
        <w:jc w:val="both"/>
      </w:pPr>
      <w:r>
        <w:rPr>
          <w:sz w:val="21"/>
        </w:rPr>
        <w:t>全面复核清单工程量、综合单价及材料单价、措施费和规费；复核的子项工程量在技术交底中确定，审核工程量的重点在地下工蔽工程、临时工程、大包干项目、造价高比重大项目、图形复杂计量困难项目、新材料新工艺项目、图纸有缺陷项目等。分析工程量清单描述对应图纸的符合性及全面性、分析进行造价指标、对比同类工程单位造价及主要材料单位含量（或造价）指标，提供材料及设备的询价资料。</w:t>
      </w:r>
    </w:p>
    <w:p>
      <w:pPr>
        <w:pStyle w:val="null3"/>
        <w:jc w:val="both"/>
      </w:pPr>
      <w:r>
        <w:rPr>
          <w:sz w:val="21"/>
        </w:rPr>
        <w:t>3.</w:t>
      </w:r>
      <w:r>
        <w:rPr>
          <w:sz w:val="21"/>
        </w:rPr>
        <w:t>结算审核：</w:t>
      </w:r>
    </w:p>
    <w:p>
      <w:pPr>
        <w:pStyle w:val="null3"/>
        <w:jc w:val="both"/>
      </w:pPr>
      <w:r>
        <w:rPr>
          <w:sz w:val="21"/>
        </w:rPr>
        <w:t>全面复核工程量；工程签证与招标文件、合同约定及现场情况是否冲突；关注招标文件与施工合同文件的约定；工程量清单描述对应图纸的符合性及全面性；综合单价、材料单价的复核；增加工程中综合单价套用定额的复核，新材料、新工艺单价的分析及询价资料；工程索赔资料的分析。</w:t>
      </w:r>
    </w:p>
    <w:p>
      <w:pPr>
        <w:pStyle w:val="null3"/>
        <w:jc w:val="both"/>
      </w:pPr>
      <w:r>
        <w:rPr>
          <w:sz w:val="21"/>
          <w:b/>
        </w:rPr>
        <w:t>（三）评审项目任务分配方法</w:t>
      </w:r>
    </w:p>
    <w:p>
      <w:pPr>
        <w:pStyle w:val="null3"/>
        <w:jc w:val="both"/>
      </w:pPr>
      <w:r>
        <w:rPr>
          <w:sz w:val="21"/>
        </w:rPr>
        <w:t>（</w:t>
      </w:r>
      <w:r>
        <w:rPr>
          <w:sz w:val="21"/>
        </w:rPr>
        <w:t>一</w:t>
      </w:r>
      <w:r>
        <w:rPr>
          <w:sz w:val="21"/>
        </w:rPr>
        <w:t>）</w:t>
      </w:r>
      <w:r>
        <w:rPr>
          <w:sz w:val="21"/>
        </w:rPr>
        <w:t>原则：各</w:t>
      </w:r>
      <w:r>
        <w:rPr>
          <w:sz w:val="21"/>
        </w:rPr>
        <w:t>乙方</w:t>
      </w:r>
      <w:r>
        <w:rPr>
          <w:sz w:val="21"/>
        </w:rPr>
        <w:t>最终的审核费用，趋近于确定的审核费用配比。</w:t>
      </w:r>
    </w:p>
    <w:p>
      <w:pPr>
        <w:pStyle w:val="null3"/>
        <w:jc w:val="both"/>
      </w:pPr>
      <w:r>
        <w:rPr>
          <w:sz w:val="21"/>
        </w:rPr>
        <w:t>（</w:t>
      </w:r>
      <w:r>
        <w:rPr>
          <w:sz w:val="21"/>
        </w:rPr>
        <w:t>二</w:t>
      </w:r>
      <w:r>
        <w:rPr>
          <w:sz w:val="21"/>
        </w:rPr>
        <w:t>）</w:t>
      </w:r>
      <w:r>
        <w:rPr>
          <w:sz w:val="21"/>
        </w:rPr>
        <w:t>操作步骤：</w:t>
      </w:r>
    </w:p>
    <w:p>
      <w:pPr>
        <w:pStyle w:val="null3"/>
        <w:jc w:val="both"/>
      </w:pPr>
      <w:r>
        <w:rPr>
          <w:sz w:val="21"/>
        </w:rPr>
        <w:t>1</w:t>
      </w:r>
      <w:r>
        <w:rPr>
          <w:sz w:val="21"/>
        </w:rPr>
        <w:t>、</w:t>
      </w:r>
      <w:r>
        <w:rPr>
          <w:sz w:val="21"/>
        </w:rPr>
        <w:t>由</w:t>
      </w:r>
      <w:r>
        <w:rPr>
          <w:sz w:val="21"/>
        </w:rPr>
        <w:t>甲方</w:t>
      </w:r>
      <w:r>
        <w:rPr>
          <w:sz w:val="21"/>
        </w:rPr>
        <w:t>根据自身需求确定基准审核费用配比：</w:t>
      </w:r>
      <w:r>
        <w:rPr>
          <w:sz w:val="21"/>
          <w:u w:val="single"/>
        </w:rPr>
        <w:t xml:space="preserve"> </w:t>
      </w:r>
      <w:r>
        <w:rPr>
          <w:sz w:val="21"/>
          <w:u w:val="single"/>
        </w:rPr>
        <w:t xml:space="preserve">                              </w:t>
      </w:r>
      <w:r>
        <w:rPr>
          <w:sz w:val="21"/>
        </w:rPr>
        <w:t>。</w:t>
      </w:r>
    </w:p>
    <w:p>
      <w:pPr>
        <w:pStyle w:val="null3"/>
        <w:jc w:val="both"/>
      </w:pPr>
      <w:r>
        <w:rPr>
          <w:sz w:val="21"/>
        </w:rPr>
        <w:t>2</w:t>
      </w:r>
      <w:r>
        <w:rPr>
          <w:sz w:val="21"/>
        </w:rPr>
        <w:t>、</w:t>
      </w:r>
      <w:r>
        <w:rPr>
          <w:sz w:val="21"/>
        </w:rPr>
        <w:t>首轮项目按各乙方折扣率由低到高依次委托。</w:t>
      </w:r>
    </w:p>
    <w:p>
      <w:pPr>
        <w:pStyle w:val="null3"/>
        <w:jc w:val="both"/>
      </w:pPr>
      <w:r>
        <w:rPr>
          <w:sz w:val="21"/>
        </w:rPr>
        <w:t>3、各乙方的首个项目完成后，计算各乙方的实际审核费用配比</w:t>
      </w:r>
      <w:r>
        <w:rPr>
          <w:sz w:val="21"/>
        </w:rPr>
        <w:t>（即，各</w:t>
      </w:r>
      <w:r>
        <w:rPr>
          <w:sz w:val="21"/>
        </w:rPr>
        <w:t>乙方</w:t>
      </w:r>
      <w:r>
        <w:rPr>
          <w:sz w:val="21"/>
        </w:rPr>
        <w:t>实际完成的审核费用占</w:t>
      </w:r>
      <w:r>
        <w:rPr>
          <w:sz w:val="21"/>
        </w:rPr>
        <w:t>已发生的总审核费用</w:t>
      </w:r>
      <w:r>
        <w:rPr>
          <w:sz w:val="21"/>
        </w:rPr>
        <w:t>的比例）。</w:t>
      </w:r>
    </w:p>
    <w:p>
      <w:pPr>
        <w:pStyle w:val="null3"/>
        <w:jc w:val="both"/>
      </w:pPr>
      <w:r>
        <w:rPr>
          <w:sz w:val="21"/>
        </w:rPr>
        <w:t>4</w:t>
      </w:r>
      <w:r>
        <w:rPr>
          <w:sz w:val="21"/>
        </w:rPr>
        <w:t>、</w:t>
      </w:r>
      <w:r>
        <w:rPr>
          <w:sz w:val="21"/>
        </w:rPr>
        <w:t>计算配比差</w:t>
      </w:r>
      <w:r>
        <w:rPr>
          <w:sz w:val="21"/>
        </w:rPr>
        <w:t>=实际审核费用配比-基准审核费用配比。配比差为负值最大的</w:t>
      </w:r>
      <w:r>
        <w:rPr>
          <w:sz w:val="21"/>
        </w:rPr>
        <w:t>乙方</w:t>
      </w:r>
      <w:r>
        <w:rPr>
          <w:sz w:val="21"/>
        </w:rPr>
        <w:t>确定为下一个项目委托人。</w:t>
      </w:r>
    </w:p>
    <w:p>
      <w:pPr>
        <w:pStyle w:val="null3"/>
        <w:jc w:val="both"/>
      </w:pPr>
      <w:r>
        <w:rPr>
          <w:sz w:val="21"/>
        </w:rPr>
        <w:t>（</w:t>
      </w:r>
      <w:r>
        <w:rPr>
          <w:sz w:val="21"/>
        </w:rPr>
        <w:t>三</w:t>
      </w:r>
      <w:r>
        <w:rPr>
          <w:sz w:val="21"/>
        </w:rPr>
        <w:t>）</w:t>
      </w:r>
      <w:r>
        <w:rPr>
          <w:sz w:val="21"/>
        </w:rPr>
        <w:t>说明</w:t>
      </w:r>
      <w:r>
        <w:rPr>
          <w:sz w:val="21"/>
        </w:rPr>
        <w:t>：</w:t>
      </w:r>
      <w:r>
        <w:rPr>
          <w:sz w:val="21"/>
        </w:rPr>
        <w:t>本办法中所述基准审核费用配比仅为分配参考指标，</w:t>
      </w:r>
      <w:r>
        <w:rPr>
          <w:sz w:val="21"/>
        </w:rPr>
        <w:t>甲方</w:t>
      </w:r>
      <w:r>
        <w:rPr>
          <w:sz w:val="21"/>
        </w:rPr>
        <w:t>不确保</w:t>
      </w:r>
      <w:r>
        <w:rPr>
          <w:sz w:val="21"/>
        </w:rPr>
        <w:t>乙方</w:t>
      </w:r>
      <w:r>
        <w:rPr>
          <w:sz w:val="21"/>
        </w:rPr>
        <w:t>最终的审核费用比例与该配比完全一致。</w:t>
      </w:r>
    </w:p>
    <w:p>
      <w:pPr>
        <w:pStyle w:val="null3"/>
        <w:jc w:val="both"/>
      </w:pPr>
      <w:r>
        <w:rPr>
          <w:sz w:val="21"/>
        </w:rPr>
        <w:t>（</w:t>
      </w:r>
      <w:r>
        <w:rPr>
          <w:sz w:val="21"/>
        </w:rPr>
        <w:t>四</w:t>
      </w:r>
      <w:r>
        <w:rPr>
          <w:sz w:val="21"/>
        </w:rPr>
        <w:t>）</w:t>
      </w:r>
      <w:r>
        <w:rPr>
          <w:sz w:val="21"/>
        </w:rPr>
        <w:t>调整基准审核费用配比的情况：</w:t>
      </w:r>
    </w:p>
    <w:p>
      <w:pPr>
        <w:pStyle w:val="null3"/>
        <w:jc w:val="both"/>
      </w:pPr>
      <w:r>
        <w:rPr>
          <w:sz w:val="21"/>
        </w:rPr>
        <w:t>1</w:t>
      </w:r>
      <w:r>
        <w:rPr>
          <w:sz w:val="21"/>
        </w:rPr>
        <w:t>、</w:t>
      </w:r>
      <w:r>
        <w:rPr>
          <w:sz w:val="21"/>
        </w:rPr>
        <w:t>项目分配时，配比差负值最大的</w:t>
      </w:r>
      <w:r>
        <w:rPr>
          <w:sz w:val="21"/>
        </w:rPr>
        <w:t>乙方</w:t>
      </w:r>
      <w:r>
        <w:rPr>
          <w:sz w:val="21"/>
        </w:rPr>
        <w:t>符合回避原则的，项目委托任务改由配比差负值次高的</w:t>
      </w:r>
      <w:r>
        <w:rPr>
          <w:sz w:val="21"/>
        </w:rPr>
        <w:t>乙方</w:t>
      </w:r>
      <w:r>
        <w:rPr>
          <w:sz w:val="21"/>
        </w:rPr>
        <w:t>实施，各</w:t>
      </w:r>
      <w:r>
        <w:rPr>
          <w:sz w:val="21"/>
        </w:rPr>
        <w:t>乙方</w:t>
      </w:r>
      <w:r>
        <w:rPr>
          <w:sz w:val="21"/>
        </w:rPr>
        <w:t>的基准审核费用配比保持不变。</w:t>
      </w:r>
    </w:p>
    <w:p>
      <w:pPr>
        <w:pStyle w:val="null3"/>
        <w:jc w:val="both"/>
      </w:pPr>
      <w:r>
        <w:rPr>
          <w:sz w:val="21"/>
        </w:rPr>
        <w:t>2</w:t>
      </w:r>
      <w:r>
        <w:rPr>
          <w:sz w:val="21"/>
        </w:rPr>
        <w:t>、乙方</w:t>
      </w:r>
      <w:r>
        <w:rPr>
          <w:sz w:val="21"/>
        </w:rPr>
        <w:t>非应回避的原因拒绝接受分配的，视同放弃本轮次项目委托资格，项目委托任务改由配比差负值次高的</w:t>
      </w:r>
      <w:r>
        <w:rPr>
          <w:sz w:val="21"/>
        </w:rPr>
        <w:t>乙方</w:t>
      </w:r>
      <w:r>
        <w:rPr>
          <w:sz w:val="21"/>
        </w:rPr>
        <w:t>实施。放弃项目委托资格累计</w:t>
      </w:r>
      <w:r>
        <w:rPr>
          <w:sz w:val="21"/>
        </w:rPr>
        <w:t>1次的</w:t>
      </w:r>
      <w:r>
        <w:rPr>
          <w:sz w:val="21"/>
        </w:rPr>
        <w:t>乙方</w:t>
      </w:r>
      <w:r>
        <w:rPr>
          <w:sz w:val="21"/>
        </w:rPr>
        <w:t>，自放弃委托之后的基准审核费用配比降低</w:t>
      </w:r>
      <w:r>
        <w:rPr>
          <w:sz w:val="21"/>
        </w:rPr>
        <w:t>5%，降低的配比份额平均分配给另两个</w:t>
      </w:r>
      <w:r>
        <w:rPr>
          <w:sz w:val="21"/>
        </w:rPr>
        <w:t>乙方</w:t>
      </w:r>
      <w:r>
        <w:rPr>
          <w:sz w:val="21"/>
        </w:rPr>
        <w:t>。</w:t>
      </w:r>
    </w:p>
    <w:p>
      <w:pPr>
        <w:pStyle w:val="null3"/>
        <w:jc w:val="both"/>
      </w:pPr>
      <w:r>
        <w:rPr>
          <w:sz w:val="21"/>
        </w:rPr>
        <w:t>3</w:t>
      </w:r>
      <w:r>
        <w:rPr>
          <w:sz w:val="21"/>
        </w:rPr>
        <w:t>、乙方</w:t>
      </w:r>
      <w:r>
        <w:rPr>
          <w:sz w:val="21"/>
        </w:rPr>
        <w:t>无法按时按质完成委托任务的，视同放弃本轮次项目委托资格，基准审核费用配比调整参考第</w:t>
      </w:r>
      <w:r>
        <w:rPr>
          <w:sz w:val="21"/>
        </w:rPr>
        <w:t>2条。</w:t>
      </w:r>
    </w:p>
    <w:p>
      <w:pPr>
        <w:pStyle w:val="null3"/>
        <w:jc w:val="both"/>
      </w:pPr>
      <w:r>
        <w:rPr>
          <w:sz w:val="21"/>
        </w:rPr>
        <w:t>（五）</w:t>
      </w:r>
      <w:r>
        <w:rPr>
          <w:sz w:val="21"/>
        </w:rPr>
        <w:t>回避规则：接受项目委托的</w:t>
      </w:r>
      <w:r>
        <w:rPr>
          <w:sz w:val="21"/>
        </w:rPr>
        <w:t>乙方</w:t>
      </w:r>
      <w:r>
        <w:rPr>
          <w:sz w:val="21"/>
        </w:rPr>
        <w:t>与委托项目有利害关系的（包括但不限于结算评审单位参与该项目施工图预算阶段造价的编制或</w:t>
      </w:r>
      <w:r>
        <w:rPr>
          <w:sz w:val="21"/>
        </w:rPr>
        <w:t>乙方</w:t>
      </w:r>
      <w:r>
        <w:rPr>
          <w:sz w:val="21"/>
        </w:rPr>
        <w:t>与该项目相关实施单位有利害关系等），必须主动申请回避。</w:t>
      </w:r>
      <w:r>
        <w:br/>
      </w:r>
      <w:r>
        <w:rPr>
          <w:sz w:val="21"/>
        </w:rPr>
        <w:t>（</w:t>
      </w:r>
      <w:r>
        <w:rPr>
          <w:sz w:val="21"/>
        </w:rPr>
        <w:t>六</w:t>
      </w:r>
      <w:r>
        <w:rPr>
          <w:sz w:val="21"/>
        </w:rPr>
        <w:t>）</w:t>
      </w:r>
      <w:r>
        <w:rPr>
          <w:sz w:val="21"/>
        </w:rPr>
        <w:t>服务期内甲方根据实际情况可调整分配方式，</w:t>
      </w:r>
      <w:r>
        <w:rPr>
          <w:sz w:val="21"/>
        </w:rPr>
        <w:t>具体分配方式以甲方签订合同时提供为准。</w:t>
      </w:r>
      <w:r>
        <w:rPr>
          <w:sz w:val="21"/>
        </w:rPr>
        <w:t>乙方应</w:t>
      </w:r>
      <w:r>
        <w:rPr>
          <w:sz w:val="21"/>
        </w:rPr>
        <w:t>无条件接受。</w:t>
      </w:r>
    </w:p>
    <w:p>
      <w:pPr>
        <w:pStyle w:val="null3"/>
        <w:jc w:val="both"/>
      </w:pPr>
      <w:r>
        <w:rPr>
          <w:sz w:val="21"/>
          <w:b/>
        </w:rPr>
        <w:t>（四）项目实施人员要求</w:t>
      </w:r>
    </w:p>
    <w:p>
      <w:pPr>
        <w:pStyle w:val="null3"/>
        <w:jc w:val="both"/>
      </w:pPr>
      <w:r>
        <w:rPr>
          <w:sz w:val="21"/>
        </w:rPr>
        <w:t>1.</w:t>
      </w:r>
      <w:r>
        <w:rPr>
          <w:sz w:val="21"/>
        </w:rPr>
        <w:t>乙方应具备足够的人力、物力等资源，保证按时按质按量完成委托的评审业务，且对基建工程评审的各个专业领域都比较熟悉。</w:t>
      </w:r>
    </w:p>
    <w:p>
      <w:pPr>
        <w:pStyle w:val="null3"/>
        <w:jc w:val="both"/>
      </w:pPr>
      <w:r>
        <w:rPr>
          <w:sz w:val="21"/>
        </w:rPr>
        <w:t>2.</w:t>
      </w:r>
      <w:r>
        <w:rPr>
          <w:sz w:val="21"/>
        </w:rPr>
        <w:t>乙方应具有一般土建、市政、装饰、安装、园林绿化工程以及水利等专业工程的审核能力和经验，并具备相关专业的工程师和专家。</w:t>
      </w:r>
    </w:p>
    <w:p>
      <w:pPr>
        <w:pStyle w:val="null3"/>
        <w:jc w:val="both"/>
      </w:pPr>
      <w:r>
        <w:rPr>
          <w:sz w:val="21"/>
        </w:rPr>
        <w:t>3.</w:t>
      </w:r>
      <w:r>
        <w:rPr>
          <w:sz w:val="21"/>
        </w:rPr>
        <w:t>拟派评审人员名单由公司负责人、管理人员、审核人员（相关专业专家）组成，其中拟派的管理人员应具备丰富的工程审核管理经验，拟派的评审人员应具备较强的工程审核能力和财政评审经验，其中具有注册造价工程师的人员人数在</w:t>
      </w:r>
      <w:r>
        <w:rPr>
          <w:sz w:val="21"/>
        </w:rPr>
        <w:t>2</w:t>
      </w:r>
      <w:r>
        <w:rPr>
          <w:sz w:val="21"/>
        </w:rPr>
        <w:t>人或以上（至少要含</w:t>
      </w:r>
      <w:r>
        <w:rPr>
          <w:sz w:val="21"/>
        </w:rPr>
        <w:t>1</w:t>
      </w:r>
      <w:r>
        <w:rPr>
          <w:sz w:val="21"/>
        </w:rPr>
        <w:t>名高级工程师）。</w:t>
      </w:r>
    </w:p>
    <w:p>
      <w:pPr>
        <w:pStyle w:val="null3"/>
        <w:jc w:val="both"/>
      </w:pPr>
      <w:r>
        <w:rPr>
          <w:sz w:val="21"/>
        </w:rPr>
        <w:t>4.</w:t>
      </w:r>
      <w:r>
        <w:rPr>
          <w:sz w:val="21"/>
        </w:rPr>
        <w:t>乙方应在投标文件中对拟选派的评审人员进行承诺，并列明拟派评审人员的详细情况，内容包括：评审人员姓名、年龄、专业、执业（专业）资格证号、职称。拟派评审从业人员应覆盖建筑、安装、装饰、园林绿化、市政、电力（电气）、公路（路桥）、水利等专业，具体人数由投标单位根据甲方的要求和投标单位的自身情况决定。乙方必须按照投标文件承诺选派人员，如需变更的，须报经甲方同意。</w:t>
      </w:r>
    </w:p>
    <w:p>
      <w:pPr>
        <w:pStyle w:val="null3"/>
        <w:jc w:val="both"/>
      </w:pPr>
      <w:r>
        <w:rPr>
          <w:sz w:val="21"/>
        </w:rPr>
        <w:t>5.</w:t>
      </w:r>
      <w:r>
        <w:rPr>
          <w:sz w:val="21"/>
        </w:rPr>
        <w:t>在工程评审过程中，甲方若发现乙方工作人员存在职业道德、工作态度和能力等问题不能胜任评审工作要求的，甲方保留更换相关人员、减少委托任务和更换乙方的权利。</w:t>
      </w:r>
    </w:p>
    <w:p>
      <w:pPr>
        <w:pStyle w:val="null3"/>
        <w:jc w:val="both"/>
      </w:pPr>
      <w:r>
        <w:rPr>
          <w:sz w:val="21"/>
        </w:rPr>
        <w:t>6.</w:t>
      </w:r>
      <w:r>
        <w:rPr>
          <w:sz w:val="21"/>
        </w:rPr>
        <w:t>拟派评审人员需在其执业资格内执业。</w:t>
      </w:r>
    </w:p>
    <w:p>
      <w:pPr>
        <w:pStyle w:val="null3"/>
        <w:jc w:val="both"/>
      </w:pPr>
      <w:r>
        <w:rPr>
          <w:sz w:val="21"/>
          <w:b/>
        </w:rPr>
        <w:t>（五）具体服务要求</w:t>
      </w:r>
    </w:p>
    <w:p>
      <w:pPr>
        <w:pStyle w:val="null3"/>
        <w:jc w:val="both"/>
      </w:pPr>
      <w:r>
        <w:rPr>
          <w:sz w:val="21"/>
        </w:rPr>
        <w:t>1.</w:t>
      </w:r>
      <w:r>
        <w:rPr>
          <w:sz w:val="21"/>
        </w:rPr>
        <w:t>乙方需针对本次招标而制定服务计划及承诺。</w:t>
      </w:r>
    </w:p>
    <w:p>
      <w:pPr>
        <w:pStyle w:val="null3"/>
        <w:jc w:val="both"/>
      </w:pPr>
      <w:r>
        <w:rPr>
          <w:sz w:val="21"/>
        </w:rPr>
        <w:t>2.</w:t>
      </w:r>
      <w:r>
        <w:rPr>
          <w:sz w:val="21"/>
        </w:rPr>
        <w:t>乙方有健全的组织机构和内部管理制度，有完善的质量保证体系和技术经济档案管理制度，有良好的服务态度和较好的社会信誉。</w:t>
      </w:r>
    </w:p>
    <w:p>
      <w:pPr>
        <w:pStyle w:val="null3"/>
        <w:jc w:val="both"/>
      </w:pPr>
      <w:r>
        <w:rPr>
          <w:sz w:val="21"/>
        </w:rPr>
        <w:t>3.</w:t>
      </w:r>
      <w:r>
        <w:rPr>
          <w:sz w:val="21"/>
        </w:rPr>
        <w:t>乙方有保证业务需要的交通工具、现代办公设备和符合顺德当地造价管理部门要求的造价评审管理软件。</w:t>
      </w:r>
    </w:p>
    <w:p>
      <w:pPr>
        <w:pStyle w:val="null3"/>
        <w:jc w:val="both"/>
      </w:pPr>
      <w:r>
        <w:rPr>
          <w:sz w:val="21"/>
        </w:rPr>
        <w:t>4.</w:t>
      </w:r>
      <w:r>
        <w:rPr>
          <w:sz w:val="21"/>
        </w:rPr>
        <w:t>乙方应根据国家和省、市有关工程造价的法规、政策、文件，以及基建财务管理的有关规定，本着为政府节约投资的原则，科学、客观、公正地开展评审工作，按甲方的要求，按时按质按量提供评审报告，并对评审结论的真实性、准确性、完整性和合法性负责。对复审和抽查发现有重大质量问题或较大幅度漏审的，以及因项目评审结论不实，引起诉讼和纠纷的，乙方须承担相关责任并接受甲方作出的通报批评、扣减评审费用、停止委托新的评审任务和解除委托合同等处罚。</w:t>
      </w:r>
    </w:p>
    <w:p>
      <w:pPr>
        <w:pStyle w:val="null3"/>
        <w:jc w:val="both"/>
      </w:pPr>
      <w:r>
        <w:rPr>
          <w:sz w:val="21"/>
        </w:rPr>
        <w:t>5.</w:t>
      </w:r>
      <w:r>
        <w:rPr>
          <w:sz w:val="21"/>
        </w:rPr>
        <w:t>乙方必须独立完成甲方委托的评审任务，不得将评审业务转让给第三方完成，并能按甲方的要求定期做好已完成项目的相关资料的移交和归档工作。</w:t>
      </w:r>
    </w:p>
    <w:p>
      <w:pPr>
        <w:pStyle w:val="null3"/>
        <w:jc w:val="both"/>
      </w:pPr>
      <w:r>
        <w:rPr>
          <w:sz w:val="21"/>
        </w:rPr>
        <w:t>6.</w:t>
      </w:r>
      <w:r>
        <w:rPr>
          <w:sz w:val="21"/>
        </w:rPr>
        <w:t>乙方需向甲方提供常设全天候</w:t>
      </w:r>
      <w:r>
        <w:rPr>
          <w:sz w:val="21"/>
        </w:rPr>
        <w:t>24</w:t>
      </w:r>
      <w:r>
        <w:rPr>
          <w:sz w:val="21"/>
        </w:rPr>
        <w:t>小时服务热线和长期的免费技术支持。</w:t>
      </w:r>
    </w:p>
    <w:p>
      <w:pPr>
        <w:pStyle w:val="null3"/>
        <w:jc w:val="both"/>
      </w:pPr>
      <w:r>
        <w:rPr>
          <w:sz w:val="21"/>
        </w:rPr>
        <w:t>7.</w:t>
      </w:r>
      <w:r>
        <w:rPr>
          <w:sz w:val="21"/>
        </w:rPr>
        <w:t>甲方要求乙方接收送审资料的，乙方应当收到通知后</w:t>
      </w:r>
      <w:r>
        <w:rPr>
          <w:sz w:val="21"/>
        </w:rPr>
        <w:t>24</w:t>
      </w:r>
      <w:r>
        <w:rPr>
          <w:sz w:val="21"/>
        </w:rPr>
        <w:t>小时内到甲方指定地点签收相关资料。</w:t>
      </w:r>
    </w:p>
    <w:p>
      <w:pPr>
        <w:pStyle w:val="null3"/>
        <w:jc w:val="both"/>
      </w:pPr>
      <w:r>
        <w:rPr>
          <w:sz w:val="21"/>
        </w:rPr>
        <w:t>8.</w:t>
      </w:r>
      <w:r>
        <w:rPr>
          <w:sz w:val="21"/>
        </w:rPr>
        <w:t>定期配合甲方做好业务负责人和技术负责人的定期培训和例会工作。</w:t>
      </w:r>
    </w:p>
    <w:p>
      <w:pPr>
        <w:pStyle w:val="null3"/>
        <w:jc w:val="both"/>
      </w:pPr>
      <w:r>
        <w:rPr>
          <w:sz w:val="21"/>
        </w:rPr>
        <w:t>9.</w:t>
      </w:r>
      <w:r>
        <w:rPr>
          <w:sz w:val="21"/>
        </w:rPr>
        <w:t>非经甲方同意，不得就委托业务直接与建设、施工等单位联系。在征得甲方同意后，才能向建设单位索取资料。所取得的资料必须经过甲方确认，才能作为工程评审的依据。</w:t>
      </w:r>
    </w:p>
    <w:p>
      <w:pPr>
        <w:pStyle w:val="null3"/>
        <w:jc w:val="left"/>
      </w:pPr>
      <w:r>
        <w:rPr>
          <w:sz w:val="21"/>
          <w:b/>
        </w:rPr>
        <w:t>（六）委托项目完成时间要求</w:t>
      </w:r>
    </w:p>
    <w:p>
      <w:pPr>
        <w:pStyle w:val="null3"/>
        <w:ind w:firstLine="420"/>
        <w:jc w:val="both"/>
      </w:pPr>
      <w:r>
        <w:rPr>
          <w:sz w:val="21"/>
        </w:rPr>
        <w:t>审价时限一般参照以下的标准执行，其中审价时限分第一阶段完成时限和第二阶段完成时限两种情况。第一阶段完成时限是指乙方接受委托之日开始计算，到提交完整的评审初稿时间；第二阶段完成时限是指组织对数完成，项目评审资料完善之日开始计算，到提交正式完整的评审定案稿时间：</w:t>
      </w:r>
    </w:p>
    <w:tbl>
      <w:tblPr>
        <w:tblW w:w="0" w:type="auto"/>
        <w:tblBorders>
          <w:top w:val="none" w:color="000000" w:sz="4"/>
          <w:left w:val="none" w:color="000000" w:sz="4"/>
          <w:bottom w:val="none" w:color="000000" w:sz="4"/>
          <w:right w:val="none" w:color="000000" w:sz="4"/>
          <w:insideH w:val="none"/>
          <w:insideV w:val="none"/>
        </w:tblBorders>
      </w:tblPr>
      <w:tblGrid>
        <w:gridCol w:w="2898"/>
        <w:gridCol w:w="3626"/>
        <w:gridCol w:w="1782"/>
      </w:tblGrid>
      <w:tr>
        <w:tc>
          <w:tcPr>
            <w:tcW w:type="dxa" w:w="28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服务类别</w:t>
            </w:r>
          </w:p>
        </w:tc>
        <w:tc>
          <w:tcPr>
            <w:tcW w:type="dxa" w:w="36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送审金额</w:t>
            </w:r>
          </w:p>
        </w:tc>
        <w:tc>
          <w:tcPr>
            <w:tcW w:type="dxa" w:w="17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完成时限</w:t>
            </w:r>
          </w:p>
        </w:tc>
      </w:tr>
      <w:tr>
        <w:tc>
          <w:tcPr>
            <w:tcW w:type="dxa" w:w="28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估算、概算、预算</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r>
              <w:rPr>
                <w:sz w:val="21"/>
              </w:rPr>
              <w:t>万元至</w:t>
            </w:r>
            <w:r>
              <w:rPr>
                <w:sz w:val="21"/>
              </w:rPr>
              <w:t>400</w:t>
            </w:r>
            <w:r>
              <w:rPr>
                <w:sz w:val="21"/>
              </w:rPr>
              <w:t>万元</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个日历日</w:t>
            </w:r>
          </w:p>
        </w:tc>
      </w:tr>
      <w:tr>
        <w:tc>
          <w:tcPr>
            <w:tcW w:type="dxa" w:w="2898"/>
            <w:vMerge/>
            <w:tcBorders>
              <w:top w:val="none" w:color="000000" w:sz="4"/>
              <w:left w:val="single" w:color="000000" w:sz="4"/>
              <w:bottom w:val="single" w:color="000000" w:sz="4"/>
              <w:right w:val="single" w:color="000000" w:sz="4"/>
            </w:tcBorders>
          </w:tcP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r>
              <w:rPr>
                <w:sz w:val="21"/>
              </w:rPr>
              <w:t>万元至</w:t>
            </w:r>
            <w:r>
              <w:rPr>
                <w:sz w:val="21"/>
              </w:rPr>
              <w:t>1000</w:t>
            </w:r>
            <w:r>
              <w:rPr>
                <w:sz w:val="21"/>
              </w:rPr>
              <w:t>万元</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个日历日</w:t>
            </w:r>
          </w:p>
        </w:tc>
      </w:tr>
      <w:tr>
        <w:tc>
          <w:tcPr>
            <w:tcW w:type="dxa" w:w="2898"/>
            <w:vMerge/>
            <w:tcBorders>
              <w:top w:val="none" w:color="000000" w:sz="4"/>
              <w:left w:val="single" w:color="000000" w:sz="4"/>
              <w:bottom w:val="single" w:color="000000" w:sz="4"/>
              <w:right w:val="single" w:color="000000" w:sz="4"/>
            </w:tcBorders>
          </w:tcP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w:t>
            </w:r>
            <w:r>
              <w:rPr>
                <w:sz w:val="21"/>
              </w:rPr>
              <w:t>万元至</w:t>
            </w:r>
            <w:r>
              <w:rPr>
                <w:sz w:val="21"/>
              </w:rPr>
              <w:t>5000</w:t>
            </w:r>
            <w:r>
              <w:rPr>
                <w:sz w:val="21"/>
              </w:rPr>
              <w:t>万元</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r>
              <w:rPr>
                <w:sz w:val="21"/>
              </w:rPr>
              <w:t>个日历日</w:t>
            </w:r>
          </w:p>
        </w:tc>
      </w:tr>
      <w:tr>
        <w:tc>
          <w:tcPr>
            <w:tcW w:type="dxa" w:w="2898"/>
            <w:vMerge/>
            <w:tcBorders>
              <w:top w:val="none" w:color="000000" w:sz="4"/>
              <w:left w:val="single" w:color="000000" w:sz="4"/>
              <w:bottom w:val="single" w:color="000000" w:sz="4"/>
              <w:right w:val="single" w:color="000000" w:sz="4"/>
            </w:tcBorders>
          </w:tcP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5000</w:t>
            </w:r>
            <w:r>
              <w:rPr>
                <w:sz w:val="21"/>
              </w:rPr>
              <w:t>万元至</w:t>
            </w:r>
            <w:r>
              <w:rPr>
                <w:sz w:val="21"/>
              </w:rPr>
              <w:t>1</w:t>
            </w:r>
            <w:r>
              <w:rPr>
                <w:sz w:val="21"/>
              </w:rPr>
              <w:t>亿元以下</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r>
              <w:rPr>
                <w:sz w:val="21"/>
              </w:rPr>
              <w:t>个日历日</w:t>
            </w:r>
          </w:p>
        </w:tc>
      </w:tr>
      <w:tr>
        <w:tc>
          <w:tcPr>
            <w:tcW w:type="dxa" w:w="2898"/>
            <w:vMerge/>
            <w:tcBorders>
              <w:top w:val="none" w:color="000000" w:sz="4"/>
              <w:left w:val="single" w:color="000000" w:sz="4"/>
              <w:bottom w:val="single" w:color="000000" w:sz="4"/>
              <w:right w:val="single" w:color="000000" w:sz="4"/>
            </w:tcBorders>
          </w:tcP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亿元以上</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r>
              <w:rPr>
                <w:sz w:val="21"/>
              </w:rPr>
              <w:t>个日历日</w:t>
            </w:r>
          </w:p>
        </w:tc>
      </w:tr>
      <w:tr>
        <w:tc>
          <w:tcPr>
            <w:tcW w:type="dxa" w:w="28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结算（变更）</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r>
              <w:rPr>
                <w:sz w:val="21"/>
              </w:rPr>
              <w:t>万元以下</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个日历日</w:t>
            </w:r>
          </w:p>
        </w:tc>
      </w:tr>
      <w:tr>
        <w:tc>
          <w:tcPr>
            <w:tcW w:type="dxa" w:w="2898"/>
            <w:vMerge/>
            <w:tcBorders>
              <w:top w:val="none" w:color="000000" w:sz="4"/>
              <w:left w:val="single" w:color="000000" w:sz="4"/>
              <w:bottom w:val="single" w:color="000000" w:sz="4"/>
              <w:right w:val="single" w:color="000000" w:sz="4"/>
            </w:tcBorders>
          </w:tcP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r>
              <w:rPr>
                <w:sz w:val="21"/>
              </w:rPr>
              <w:t>万元至</w:t>
            </w:r>
            <w:r>
              <w:rPr>
                <w:sz w:val="21"/>
              </w:rPr>
              <w:t>400</w:t>
            </w:r>
            <w:r>
              <w:rPr>
                <w:sz w:val="21"/>
              </w:rPr>
              <w:t>万元</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r>
              <w:rPr>
                <w:sz w:val="21"/>
              </w:rPr>
              <w:t>个日历日</w:t>
            </w:r>
          </w:p>
        </w:tc>
      </w:tr>
      <w:tr>
        <w:tc>
          <w:tcPr>
            <w:tcW w:type="dxa" w:w="2898"/>
            <w:vMerge/>
            <w:tcBorders>
              <w:top w:val="none" w:color="000000" w:sz="4"/>
              <w:left w:val="single" w:color="000000" w:sz="4"/>
              <w:bottom w:val="single" w:color="000000" w:sz="4"/>
              <w:right w:val="single" w:color="000000" w:sz="4"/>
            </w:tcBorders>
          </w:tcP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r>
              <w:rPr>
                <w:sz w:val="21"/>
              </w:rPr>
              <w:t>万元至</w:t>
            </w:r>
            <w:r>
              <w:rPr>
                <w:sz w:val="21"/>
              </w:rPr>
              <w:t>1000</w:t>
            </w:r>
            <w:r>
              <w:rPr>
                <w:sz w:val="21"/>
              </w:rPr>
              <w:t>万元</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r>
              <w:rPr>
                <w:sz w:val="21"/>
              </w:rPr>
              <w:t>个日历日</w:t>
            </w:r>
          </w:p>
        </w:tc>
      </w:tr>
      <w:tr>
        <w:tc>
          <w:tcPr>
            <w:tcW w:type="dxa" w:w="2898"/>
            <w:vMerge/>
            <w:tcBorders>
              <w:top w:val="none" w:color="000000" w:sz="4"/>
              <w:left w:val="single" w:color="000000" w:sz="4"/>
              <w:bottom w:val="single" w:color="000000" w:sz="4"/>
              <w:right w:val="single" w:color="000000" w:sz="4"/>
            </w:tcBorders>
          </w:tcP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w:t>
            </w:r>
            <w:r>
              <w:rPr>
                <w:sz w:val="21"/>
              </w:rPr>
              <w:t>万元至</w:t>
            </w:r>
            <w:r>
              <w:rPr>
                <w:sz w:val="21"/>
              </w:rPr>
              <w:t>5000</w:t>
            </w:r>
            <w:r>
              <w:rPr>
                <w:sz w:val="21"/>
              </w:rPr>
              <w:t>万元</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r>
              <w:rPr>
                <w:sz w:val="21"/>
              </w:rPr>
              <w:t>个日历日</w:t>
            </w:r>
          </w:p>
        </w:tc>
      </w:tr>
      <w:tr>
        <w:tc>
          <w:tcPr>
            <w:tcW w:type="dxa" w:w="2898"/>
            <w:vMerge/>
            <w:tcBorders>
              <w:top w:val="none" w:color="000000" w:sz="4"/>
              <w:left w:val="single" w:color="000000" w:sz="4"/>
              <w:bottom w:val="single" w:color="000000" w:sz="4"/>
              <w:right w:val="single" w:color="000000" w:sz="4"/>
            </w:tcBorders>
          </w:tcP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5000</w:t>
            </w:r>
            <w:r>
              <w:rPr>
                <w:sz w:val="21"/>
              </w:rPr>
              <w:t>万元至</w:t>
            </w:r>
            <w:r>
              <w:rPr>
                <w:sz w:val="21"/>
              </w:rPr>
              <w:t>1</w:t>
            </w:r>
            <w:r>
              <w:rPr>
                <w:sz w:val="21"/>
              </w:rPr>
              <w:t>亿元以下</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个日历日</w:t>
            </w:r>
          </w:p>
        </w:tc>
      </w:tr>
      <w:tr>
        <w:tc>
          <w:tcPr>
            <w:tcW w:type="dxa" w:w="2898"/>
            <w:vMerge/>
            <w:tcBorders>
              <w:top w:val="none" w:color="000000" w:sz="4"/>
              <w:left w:val="single" w:color="000000" w:sz="4"/>
              <w:bottom w:val="single" w:color="000000" w:sz="4"/>
              <w:right w:val="single" w:color="000000" w:sz="4"/>
            </w:tcBorders>
          </w:tcP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亿元以上</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r>
              <w:rPr>
                <w:sz w:val="21"/>
              </w:rPr>
              <w:t>个日历日</w:t>
            </w:r>
          </w:p>
        </w:tc>
      </w:tr>
      <w:tr>
        <w:tc>
          <w:tcPr>
            <w:tcW w:type="dxa" w:w="830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备注：下限包含本数，上限不包含本数。</w:t>
            </w:r>
          </w:p>
        </w:tc>
      </w:tr>
    </w:tbl>
    <w:p>
      <w:pPr>
        <w:pStyle w:val="null3"/>
        <w:ind w:firstLine="420"/>
        <w:jc w:val="both"/>
      </w:pPr>
      <w:r>
        <w:rPr>
          <w:sz w:val="21"/>
        </w:rPr>
        <w:t>以上为完成时限的一般标准。具体每项工程的完成时间，除特殊紧急情况外，以委托协议书规定的完成时限为准。</w:t>
      </w:r>
    </w:p>
    <w:p>
      <w:pPr>
        <w:pStyle w:val="null3"/>
        <w:jc w:val="both"/>
      </w:pPr>
      <w:r>
        <w:rPr>
          <w:sz w:val="21"/>
          <w:b/>
        </w:rPr>
        <w:t>（七）服务质量考核</w:t>
      </w:r>
    </w:p>
    <w:p>
      <w:pPr>
        <w:pStyle w:val="null3"/>
        <w:jc w:val="both"/>
      </w:pPr>
      <w:r>
        <w:rPr>
          <w:sz w:val="21"/>
        </w:rPr>
        <w:t>1.</w:t>
      </w:r>
      <w:r>
        <w:rPr>
          <w:sz w:val="21"/>
        </w:rPr>
        <w:t>甲方对乙方参与的每一个评审项目的审核质量、服务质量情况等进行考核评分（考核标准详见《服务质量评价表》），评价总分</w:t>
      </w:r>
      <w:r>
        <w:rPr>
          <w:sz w:val="21"/>
        </w:rPr>
        <w:t>70</w:t>
      </w:r>
      <w:r>
        <w:rPr>
          <w:sz w:val="21"/>
        </w:rPr>
        <w:t>分以上为合格。如乙方一年累计两个评审项目评价总分低于</w:t>
      </w:r>
      <w:r>
        <w:rPr>
          <w:sz w:val="21"/>
        </w:rPr>
        <w:t>70</w:t>
      </w:r>
      <w:r>
        <w:rPr>
          <w:sz w:val="21"/>
        </w:rPr>
        <w:t>分，甲方有权单方中止服务合同。</w:t>
      </w:r>
    </w:p>
    <w:p>
      <w:pPr>
        <w:pStyle w:val="null3"/>
        <w:jc w:val="both"/>
      </w:pPr>
      <w:r>
        <w:rPr>
          <w:sz w:val="21"/>
        </w:rPr>
        <w:t>2.</w:t>
      </w:r>
      <w:r>
        <w:rPr>
          <w:sz w:val="21"/>
        </w:rPr>
        <w:t>每个评审项目的考核工作在项目评审完成并出具评审报告时随即进行，考核结果由该项目的乙方盖章确认。乙方对考核结果有疑义的，可以自收到考核结果之日</w:t>
      </w:r>
      <w:r>
        <w:rPr>
          <w:sz w:val="21"/>
        </w:rPr>
        <w:t>3</w:t>
      </w:r>
      <w:r>
        <w:rPr>
          <w:sz w:val="21"/>
        </w:rPr>
        <w:t>个工作日内，向甲方提出书面申诉。若被考核项目的乙方在接到考核结果后</w:t>
      </w:r>
      <w:r>
        <w:rPr>
          <w:sz w:val="21"/>
        </w:rPr>
        <w:t>3</w:t>
      </w:r>
      <w:r>
        <w:rPr>
          <w:sz w:val="21"/>
        </w:rPr>
        <w:t>个工作日内未提出意见或盖章的，则视为同意考核结果；若乙方对考核结果有不同意见的，应与甲方核对，核对三次仍无法统一意见的，以最后一次核对结果作为最终考核结论。</w:t>
      </w:r>
    </w:p>
    <w:tbl>
      <w:tblPr>
        <w:tblW w:w="0" w:type="auto"/>
        <w:tblBorders>
          <w:top w:val="none" w:color="000000" w:sz="4"/>
          <w:left w:val="none" w:color="000000" w:sz="4"/>
          <w:bottom w:val="none" w:color="000000" w:sz="4"/>
          <w:right w:val="none" w:color="000000" w:sz="4"/>
          <w:insideH w:val="none"/>
          <w:insideV w:val="none"/>
        </w:tblBorders>
      </w:tblPr>
      <w:tblGrid>
        <w:gridCol w:w="1398"/>
        <w:gridCol w:w="2164"/>
        <w:gridCol w:w="1418"/>
        <w:gridCol w:w="1330"/>
        <w:gridCol w:w="1225"/>
        <w:gridCol w:w="771"/>
      </w:tblGrid>
      <w:tr>
        <w:tc>
          <w:tcPr>
            <w:tcW w:type="dxa" w:w="8306"/>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b/>
                <w:color w:val="000000"/>
              </w:rPr>
              <w:t>服务质量评价表</w:t>
            </w:r>
          </w:p>
        </w:tc>
      </w:tr>
      <w:tr>
        <w:tc>
          <w:tcPr>
            <w:tcW w:type="dxa" w:w="13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项目名称</w:t>
            </w:r>
          </w:p>
        </w:tc>
        <w:tc>
          <w:tcPr>
            <w:tcW w:type="dxa" w:w="6908"/>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受评单位</w:t>
            </w:r>
          </w:p>
        </w:tc>
        <w:tc>
          <w:tcPr>
            <w:tcW w:type="dxa" w:w="2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1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服务内容</w:t>
            </w:r>
          </w:p>
        </w:tc>
        <w:tc>
          <w:tcPr>
            <w:tcW w:type="dxa" w:w="3326"/>
            <w:gridSpan w:val="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color w:val="000000"/>
              </w:rPr>
              <w:t>口审核工程量清单</w:t>
            </w:r>
          </w:p>
        </w:tc>
      </w:tr>
      <w:tr>
        <w:tc>
          <w:tcPr>
            <w:tcW w:type="dxa" w:w="1398"/>
            <w:vMerge/>
            <w:tcBorders>
              <w:top w:val="none" w:color="000000" w:sz="4"/>
              <w:left w:val="single" w:color="000000" w:sz="4"/>
              <w:bottom w:val="single" w:color="000000" w:sz="4"/>
              <w:right w:val="single" w:color="000000" w:sz="4"/>
            </w:tcBorders>
          </w:tcPr>
          <w:p/>
        </w:tc>
        <w:tc>
          <w:tcPr>
            <w:tcW w:type="dxa" w:w="2164"/>
            <w:vMerge/>
            <w:tcBorders>
              <w:top w:val="none" w:color="000000" w:sz="4"/>
              <w:left w:val="none" w:color="000000" w:sz="4"/>
              <w:bottom w:val="single" w:color="000000" w:sz="4"/>
              <w:right w:val="single" w:color="000000" w:sz="4"/>
            </w:tcBorders>
          </w:tcPr>
          <w:p/>
        </w:tc>
        <w:tc>
          <w:tcPr>
            <w:tcW w:type="dxa" w:w="1418"/>
            <w:vMerge/>
            <w:tcBorders>
              <w:top w:val="single" w:color="000000" w:sz="4"/>
              <w:left w:val="none" w:color="000000" w:sz="4"/>
              <w:bottom w:val="single" w:color="000000" w:sz="4"/>
              <w:right w:val="single" w:color="000000" w:sz="4"/>
            </w:tcBorders>
          </w:tcPr>
          <w:p/>
        </w:tc>
        <w:tc>
          <w:tcPr>
            <w:tcW w:type="dxa" w:w="3326"/>
            <w:gridSpan w:val="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color w:val="000000"/>
              </w:rPr>
              <w:t>口审核招标控制价（标底、预算价）</w:t>
            </w:r>
          </w:p>
        </w:tc>
      </w:tr>
      <w:tr>
        <w:tc>
          <w:tcPr>
            <w:tcW w:type="dxa" w:w="1398"/>
            <w:vMerge/>
            <w:tcBorders>
              <w:top w:val="none" w:color="000000" w:sz="4"/>
              <w:left w:val="single" w:color="000000" w:sz="4"/>
              <w:bottom w:val="single" w:color="000000" w:sz="4"/>
              <w:right w:val="single" w:color="000000" w:sz="4"/>
            </w:tcBorders>
          </w:tcPr>
          <w:p/>
        </w:tc>
        <w:tc>
          <w:tcPr>
            <w:tcW w:type="dxa" w:w="2164"/>
            <w:vMerge/>
            <w:tcBorders>
              <w:top w:val="none" w:color="000000" w:sz="4"/>
              <w:left w:val="none" w:color="000000" w:sz="4"/>
              <w:bottom w:val="single" w:color="000000" w:sz="4"/>
              <w:right w:val="single" w:color="000000" w:sz="4"/>
            </w:tcBorders>
          </w:tcPr>
          <w:p/>
        </w:tc>
        <w:tc>
          <w:tcPr>
            <w:tcW w:type="dxa" w:w="1418"/>
            <w:vMerge/>
            <w:tcBorders>
              <w:top w:val="single" w:color="000000" w:sz="4"/>
              <w:left w:val="none" w:color="000000" w:sz="4"/>
              <w:bottom w:val="single" w:color="000000" w:sz="4"/>
              <w:right w:val="single" w:color="000000" w:sz="4"/>
            </w:tcBorders>
          </w:tcPr>
          <w:p/>
        </w:tc>
        <w:tc>
          <w:tcPr>
            <w:tcW w:type="dxa" w:w="332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口审核结算</w:t>
            </w:r>
            <w:r>
              <w:rPr>
                <w:sz w:val="21"/>
                <w:color w:val="000000"/>
              </w:rPr>
              <w:t xml:space="preserve">   </w:t>
            </w:r>
            <w:r>
              <w:rPr>
                <w:sz w:val="21"/>
                <w:color w:val="000000"/>
              </w:rPr>
              <w:t>口其他业务</w:t>
            </w:r>
          </w:p>
        </w:tc>
      </w:tr>
      <w:tr>
        <w:tc>
          <w:tcPr>
            <w:tcW w:type="dxa" w:w="1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评价人</w:t>
            </w:r>
          </w:p>
        </w:tc>
        <w:tc>
          <w:tcPr>
            <w:tcW w:type="dxa" w:w="358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电话</w:t>
            </w:r>
          </w:p>
        </w:tc>
        <w:tc>
          <w:tcPr>
            <w:tcW w:type="dxa" w:w="19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评价内容</w:t>
            </w:r>
          </w:p>
        </w:tc>
        <w:tc>
          <w:tcPr>
            <w:tcW w:type="dxa" w:w="19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评价及得分</w:t>
            </w:r>
          </w:p>
        </w:tc>
      </w:tr>
      <w:tr>
        <w:tc>
          <w:tcPr>
            <w:tcW w:type="dxa" w:w="13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（一）咨询合同履约情况</w:t>
            </w:r>
          </w:p>
        </w:tc>
        <w:tc>
          <w:tcPr>
            <w:tcW w:type="dxa" w:w="491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签有规范完整的咨询合同，合同双方的权利义务明确；按时、按质完成委托任务；在履约过程中，提出并实施了积极的、科学合理的措施，保证了咨询合同的有效实施。</w:t>
            </w:r>
          </w:p>
        </w:tc>
        <w:tc>
          <w:tcPr>
            <w:tcW w:type="dxa" w:w="1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优良</w:t>
            </w:r>
            <w:r>
              <w:rPr>
                <w:sz w:val="21"/>
                <w:color w:val="000000"/>
              </w:rPr>
              <w:t>4-5分</w:t>
            </w:r>
          </w:p>
        </w:tc>
        <w:tc>
          <w:tcPr>
            <w:tcW w:type="dxa" w:w="7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8"/>
            <w:vMerge/>
            <w:tcBorders>
              <w:top w:val="none" w:color="000000" w:sz="4"/>
              <w:left w:val="single" w:color="000000" w:sz="4"/>
              <w:bottom w:val="single" w:color="000000" w:sz="4"/>
              <w:right w:val="single" w:color="000000" w:sz="4"/>
            </w:tcBorders>
          </w:tcPr>
          <w:p/>
        </w:tc>
        <w:tc>
          <w:tcPr>
            <w:tcW w:type="dxa" w:w="491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签有书面咨询合同；基本按合同要求完成委托任务。</w:t>
            </w:r>
          </w:p>
        </w:tc>
        <w:tc>
          <w:tcPr>
            <w:tcW w:type="dxa" w:w="1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w:t>
            </w:r>
            <w:r>
              <w:rPr>
                <w:sz w:val="21"/>
                <w:color w:val="000000"/>
              </w:rPr>
              <w:t>3-4分</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8"/>
            <w:vMerge/>
            <w:tcBorders>
              <w:top w:val="none" w:color="000000" w:sz="4"/>
              <w:left w:val="single" w:color="000000" w:sz="4"/>
              <w:bottom w:val="single" w:color="000000" w:sz="4"/>
              <w:right w:val="single" w:color="000000" w:sz="4"/>
            </w:tcBorders>
          </w:tcPr>
          <w:p/>
        </w:tc>
        <w:tc>
          <w:tcPr>
            <w:tcW w:type="dxa" w:w="491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无书面委托合同；未能按合同或委托人要求完成咨询任务</w:t>
            </w:r>
          </w:p>
        </w:tc>
        <w:tc>
          <w:tcPr>
            <w:tcW w:type="dxa" w:w="1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差</w:t>
            </w:r>
            <w:r>
              <w:rPr>
                <w:sz w:val="21"/>
                <w:color w:val="000000"/>
              </w:rPr>
              <w:t>0-3分</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（二）咨询成果文件质量</w:t>
            </w:r>
          </w:p>
        </w:tc>
        <w:tc>
          <w:tcPr>
            <w:tcW w:type="dxa" w:w="491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咨询成果文件的内容和深度满足使用者要求，且保证了相关工作的顺利实施。</w:t>
            </w:r>
          </w:p>
        </w:tc>
        <w:tc>
          <w:tcPr>
            <w:tcW w:type="dxa" w:w="1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优良</w:t>
            </w:r>
            <w:r>
              <w:rPr>
                <w:sz w:val="21"/>
                <w:color w:val="000000"/>
              </w:rPr>
              <w:t>4-5分</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8"/>
            <w:vMerge/>
            <w:tcBorders>
              <w:top w:val="none" w:color="000000" w:sz="4"/>
              <w:left w:val="single" w:color="000000" w:sz="4"/>
              <w:bottom w:val="single" w:color="000000" w:sz="4"/>
              <w:right w:val="single" w:color="000000" w:sz="4"/>
            </w:tcBorders>
          </w:tcPr>
          <w:p/>
        </w:tc>
        <w:tc>
          <w:tcPr>
            <w:tcW w:type="dxa" w:w="491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咨询成果文件内容基本完整，深度基本符合要求：有少量错漏，但不影响相关工作的顺利实施。</w:t>
            </w:r>
          </w:p>
        </w:tc>
        <w:tc>
          <w:tcPr>
            <w:tcW w:type="dxa" w:w="1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w:t>
            </w:r>
            <w:r>
              <w:rPr>
                <w:sz w:val="21"/>
                <w:color w:val="000000"/>
              </w:rPr>
              <w:t>3-4分</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8"/>
            <w:vMerge/>
            <w:tcBorders>
              <w:top w:val="none" w:color="000000" w:sz="4"/>
              <w:left w:val="single" w:color="000000" w:sz="4"/>
              <w:bottom w:val="single" w:color="000000" w:sz="4"/>
              <w:right w:val="single" w:color="000000" w:sz="4"/>
            </w:tcBorders>
          </w:tcPr>
          <w:p/>
        </w:tc>
        <w:tc>
          <w:tcPr>
            <w:tcW w:type="dxa" w:w="491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咨询成果内容不完整，深度未能满足委托人要求。</w:t>
            </w:r>
          </w:p>
        </w:tc>
        <w:tc>
          <w:tcPr>
            <w:tcW w:type="dxa" w:w="1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差</w:t>
            </w:r>
            <w:r>
              <w:rPr>
                <w:sz w:val="21"/>
                <w:color w:val="000000"/>
              </w:rPr>
              <w:t>0-3分</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（三）管理能力与规范服务</w:t>
            </w:r>
          </w:p>
        </w:tc>
        <w:tc>
          <w:tcPr>
            <w:tcW w:type="dxa" w:w="491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咨询项目有完整的实施计划，且措施得力；设有专职项目负责人；全过程服务及时、耐心，态度端正。</w:t>
            </w:r>
          </w:p>
        </w:tc>
        <w:tc>
          <w:tcPr>
            <w:tcW w:type="dxa" w:w="1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优良</w:t>
            </w:r>
            <w:r>
              <w:rPr>
                <w:sz w:val="21"/>
                <w:color w:val="000000"/>
              </w:rPr>
              <w:t>4-5分</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8"/>
            <w:vMerge/>
            <w:tcBorders>
              <w:top w:val="none" w:color="000000" w:sz="4"/>
              <w:left w:val="single" w:color="000000" w:sz="4"/>
              <w:bottom w:val="single" w:color="000000" w:sz="4"/>
              <w:right w:val="single" w:color="000000" w:sz="4"/>
            </w:tcBorders>
          </w:tcPr>
          <w:p/>
        </w:tc>
        <w:tc>
          <w:tcPr>
            <w:tcW w:type="dxa" w:w="491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咨询项目有相应的实施计划；设有专职项目负责人；提供全过程服务。</w:t>
            </w:r>
          </w:p>
        </w:tc>
        <w:tc>
          <w:tcPr>
            <w:tcW w:type="dxa" w:w="1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w:t>
            </w:r>
            <w:r>
              <w:rPr>
                <w:sz w:val="21"/>
                <w:color w:val="000000"/>
              </w:rPr>
              <w:t>3-4分</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8"/>
            <w:vMerge/>
            <w:tcBorders>
              <w:top w:val="none" w:color="000000" w:sz="4"/>
              <w:left w:val="single" w:color="000000" w:sz="4"/>
              <w:bottom w:val="single" w:color="000000" w:sz="4"/>
              <w:right w:val="single" w:color="000000" w:sz="4"/>
            </w:tcBorders>
          </w:tcPr>
          <w:p/>
        </w:tc>
        <w:tc>
          <w:tcPr>
            <w:tcW w:type="dxa" w:w="491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咨询项目无实施计划；无全程服务或服务质量差。</w:t>
            </w:r>
          </w:p>
        </w:tc>
        <w:tc>
          <w:tcPr>
            <w:tcW w:type="dxa" w:w="1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差</w:t>
            </w:r>
            <w:r>
              <w:rPr>
                <w:sz w:val="21"/>
                <w:color w:val="000000"/>
              </w:rPr>
              <w:t>0-3分</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8"/>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（四）职业道德</w:t>
            </w:r>
          </w:p>
        </w:tc>
        <w:tc>
          <w:tcPr>
            <w:tcW w:type="dxa" w:w="491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严格遵守执业行为准则、职业道德准则；以质量、信誉参与市场竞争；坚持实事求是，为委托人的合法利益精心服务；严格保守执业中知悉的技术和商务秘密；同业互助，共同维护和促进本行业的职业道德和信誉。</w:t>
            </w:r>
          </w:p>
        </w:tc>
        <w:tc>
          <w:tcPr>
            <w:tcW w:type="dxa" w:w="1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优良</w:t>
            </w:r>
            <w:r>
              <w:rPr>
                <w:sz w:val="21"/>
                <w:color w:val="000000"/>
              </w:rPr>
              <w:t>4-5分</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8"/>
            <w:vMerge/>
            <w:tcBorders>
              <w:top w:val="none" w:color="000000" w:sz="4"/>
              <w:left w:val="single" w:color="000000" w:sz="4"/>
              <w:bottom w:val="none" w:color="000000" w:sz="4"/>
              <w:right w:val="single" w:color="000000" w:sz="4"/>
            </w:tcBorders>
          </w:tcPr>
          <w:p/>
        </w:tc>
        <w:tc>
          <w:tcPr>
            <w:tcW w:type="dxa" w:w="491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遵守执业行为准则、职业道德准则：认真按为客户服务。</w:t>
            </w:r>
          </w:p>
        </w:tc>
        <w:tc>
          <w:tcPr>
            <w:tcW w:type="dxa" w:w="1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w:t>
            </w:r>
            <w:r>
              <w:rPr>
                <w:sz w:val="21"/>
                <w:color w:val="000000"/>
              </w:rPr>
              <w:t>3-4分</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8"/>
            <w:vMerge/>
            <w:tcBorders>
              <w:top w:val="none" w:color="000000" w:sz="4"/>
              <w:left w:val="single" w:color="000000" w:sz="4"/>
              <w:bottom w:val="none" w:color="000000" w:sz="4"/>
              <w:right w:val="single" w:color="000000" w:sz="4"/>
            </w:tcBorders>
          </w:tcPr>
          <w:p/>
        </w:tc>
        <w:tc>
          <w:tcPr>
            <w:tcW w:type="dxa" w:w="491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违反执业行为准则、职业道德准则；以不正当的方式参与竞争：故意损害同行的声誉；未经客户允许，泄漏客户的技术和商业秘密。</w:t>
            </w:r>
          </w:p>
        </w:tc>
        <w:tc>
          <w:tcPr>
            <w:tcW w:type="dxa" w:w="1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差</w:t>
            </w:r>
            <w:r>
              <w:rPr>
                <w:sz w:val="21"/>
                <w:color w:val="000000"/>
              </w:rPr>
              <w:t>0-3分</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各项评分合计</w:t>
            </w:r>
          </w:p>
        </w:tc>
        <w:tc>
          <w:tcPr>
            <w:tcW w:type="dxa" w:w="19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评价总分（各项评分合计得分除以评价项数，再乘以</w:t>
            </w:r>
            <w:r>
              <w:rPr>
                <w:sz w:val="21"/>
                <w:color w:val="000000"/>
              </w:rPr>
              <w:t>20）</w:t>
            </w:r>
          </w:p>
        </w:tc>
        <w:tc>
          <w:tcPr>
            <w:tcW w:type="dxa" w:w="19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10"/>
            <w:gridSpan w:val="4"/>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color w:val="000000"/>
              </w:rPr>
              <w:t>评价单位（公章）：</w:t>
            </w:r>
          </w:p>
        </w:tc>
        <w:tc>
          <w:tcPr>
            <w:tcW w:type="dxa" w:w="1996"/>
            <w:gridSpan w:val="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color w:val="000000"/>
              </w:rPr>
              <w:t>评价单位负责人：</w:t>
            </w:r>
          </w:p>
        </w:tc>
      </w:tr>
      <w:tr>
        <w:tc>
          <w:tcPr>
            <w:tcW w:type="dxa" w:w="830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r>
              <w:rPr>
                <w:sz w:val="21"/>
                <w:color w:val="000000"/>
              </w:rPr>
              <w:t xml:space="preserve">   </w:t>
            </w:r>
          </w:p>
        </w:tc>
      </w:tr>
      <w:tr>
        <w:tc>
          <w:tcPr>
            <w:tcW w:type="dxa" w:w="8306"/>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color w:val="000000"/>
              </w:rPr>
              <w:t>此表用于甲方对乙方的服务质量满意度的评价，每个评价项目都分为三级，分数确定：优良为</w:t>
            </w:r>
            <w:r>
              <w:rPr>
                <w:sz w:val="21"/>
                <w:color w:val="000000"/>
              </w:rPr>
              <w:t>4-5分；一般为3-4分；差为0-3分，由评价人自主确定。总体评价得分由五分制换算为百分制。</w:t>
            </w:r>
          </w:p>
        </w:tc>
      </w:tr>
    </w:tbl>
    <w:p>
      <w:pPr>
        <w:pStyle w:val="null3"/>
        <w:jc w:val="both"/>
      </w:pPr>
      <w:r>
        <w:rPr>
          <w:sz w:val="21"/>
          <w:b/>
        </w:rPr>
        <w:t>二、基本合同条款一览表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6"/>
        <w:gridCol w:w="1682"/>
        <w:gridCol w:w="5948"/>
      </w:tblGrid>
      <w:tr>
        <w:tc>
          <w:tcPr>
            <w:tcW w:type="dxa" w:w="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6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合同条款</w:t>
            </w:r>
          </w:p>
        </w:tc>
        <w:tc>
          <w:tcPr>
            <w:tcW w:type="dxa" w:w="59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内容</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合同金额</w:t>
            </w:r>
          </w:p>
        </w:tc>
        <w:tc>
          <w:tcPr>
            <w:tcW w:type="dxa" w:w="5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人民币：</w:t>
            </w:r>
            <w:r>
              <w:rPr>
                <w:sz w:val="21"/>
                <w:u w:val="single"/>
              </w:rPr>
              <w:t xml:space="preserve">     </w:t>
            </w:r>
            <w:r>
              <w:rPr>
                <w:sz w:val="21"/>
              </w:rPr>
              <w:t>（小写：</w:t>
            </w:r>
            <w:r>
              <w:rPr>
                <w:sz w:val="21"/>
                <w:u w:val="single"/>
              </w:rPr>
              <w:t xml:space="preserve">    </w:t>
            </w:r>
            <w:r>
              <w:rPr>
                <w:sz w:val="21"/>
              </w:rPr>
              <w:t>元）</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合同折扣率</w:t>
            </w:r>
            <w:r>
              <w:rPr>
                <w:sz w:val="21"/>
                <w:b/>
              </w:rPr>
              <w:t>（</w:t>
            </w:r>
            <w:r>
              <w:rPr>
                <w:sz w:val="21"/>
                <w:b/>
              </w:rPr>
              <w:t>中标折扣率</w:t>
            </w:r>
            <w:r>
              <w:rPr>
                <w:sz w:val="21"/>
                <w:b/>
              </w:rPr>
              <w:t>）</w:t>
            </w:r>
          </w:p>
        </w:tc>
        <w:tc>
          <w:tcPr>
            <w:tcW w:type="dxa" w:w="5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大写：</w:t>
            </w:r>
            <w:r>
              <w:rPr>
                <w:sz w:val="21"/>
                <w:u w:val="single"/>
              </w:rPr>
              <w:t xml:space="preserve">     </w:t>
            </w:r>
            <w:r>
              <w:rPr>
                <w:sz w:val="21"/>
              </w:rPr>
              <w:t>（小写：</w:t>
            </w:r>
            <w:r>
              <w:rPr>
                <w:sz w:val="21"/>
                <w:u w:val="single"/>
              </w:rPr>
              <w:t xml:space="preserve">    </w:t>
            </w:r>
            <w:r>
              <w:rPr>
                <w:sz w:val="21"/>
              </w:rPr>
              <w:t>）</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合同总额内容</w:t>
            </w:r>
          </w:p>
        </w:tc>
        <w:tc>
          <w:tcPr>
            <w:tcW w:type="dxa" w:w="5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同总额包含完成本项目所有工作内容的成本费、劳务费、交通费、场地费、采购代理费用、成果文件费用、税金（全额含税发票）、雇员费用以及项目实施过程中其它应预见和不可预见费用等完成本采购项目、达到甲方目的的一切费用及企业利润。乙方必须自行考虑在本项目实施期间的一切可能产生的费用，在项目的实施过程中，甲方除了支付合同付款方式中规定的款项外，一切合同规定外的费用将拒绝支付。</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项目服务地点</w:t>
            </w:r>
          </w:p>
        </w:tc>
        <w:tc>
          <w:tcPr>
            <w:tcW w:type="dxa" w:w="5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甲方（用户）指定地点。详细地址为：</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服务期</w:t>
            </w:r>
          </w:p>
        </w:tc>
        <w:tc>
          <w:tcPr>
            <w:tcW w:type="dxa" w:w="5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合同金额达到采购预算金额或自合同签订之日起至</w:t>
            </w:r>
            <w:r>
              <w:rPr>
                <w:sz w:val="21"/>
              </w:rPr>
              <w:t>2026</w:t>
            </w:r>
            <w:r>
              <w:rPr>
                <w:sz w:val="21"/>
              </w:rPr>
              <w:t>年</w:t>
            </w:r>
            <w:r>
              <w:rPr>
                <w:sz w:val="21"/>
              </w:rPr>
              <w:t>12</w:t>
            </w:r>
            <w:r>
              <w:rPr>
                <w:sz w:val="21"/>
              </w:rPr>
              <w:t>月</w:t>
            </w:r>
            <w:r>
              <w:rPr>
                <w:sz w:val="21"/>
              </w:rPr>
              <w:t>31</w:t>
            </w:r>
            <w:r>
              <w:rPr>
                <w:sz w:val="21"/>
              </w:rPr>
              <w:t>日止，以先到达的为准</w:t>
            </w:r>
            <w:r>
              <w:rPr>
                <w:sz w:val="21"/>
              </w:rPr>
              <w:t>。</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合同签订方式及情况</w:t>
            </w:r>
          </w:p>
        </w:tc>
        <w:tc>
          <w:tcPr>
            <w:tcW w:type="dxa" w:w="5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一次性签订本项目采购合同。</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7.</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付款方式</w:t>
            </w:r>
          </w:p>
        </w:tc>
        <w:tc>
          <w:tcPr>
            <w:tcW w:type="dxa" w:w="5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每项审核服务业务须另行签订委托合同，完成每项审核业务，审核费按</w:t>
            </w:r>
            <w:r>
              <w:rPr>
                <w:sz w:val="21"/>
              </w:rPr>
              <w:t>半年度</w:t>
            </w:r>
            <w:r>
              <w:rPr>
                <w:sz w:val="21"/>
              </w:rPr>
              <w:t>结算</w:t>
            </w:r>
            <w:r>
              <w:rPr>
                <w:sz w:val="21"/>
              </w:rPr>
              <w:t>，乙方向甲方提交支付申请，经甲方核对无误后，乙方向甲方提交合法、有效的发票，由甲方按程序办理拨付。</w:t>
            </w:r>
          </w:p>
          <w:p>
            <w:pPr>
              <w:pStyle w:val="null3"/>
              <w:jc w:val="both"/>
            </w:pPr>
            <w:r>
              <w:rPr>
                <w:sz w:val="21"/>
              </w:rPr>
              <w:t>2.</w:t>
            </w:r>
            <w:r>
              <w:rPr>
                <w:sz w:val="21"/>
              </w:rPr>
              <w:t>费用标准：</w:t>
            </w:r>
            <w:r>
              <w:rPr>
                <w:sz w:val="21"/>
              </w:rPr>
              <w:t>合同</w:t>
            </w:r>
            <w:r>
              <w:rPr>
                <w:sz w:val="21"/>
              </w:rPr>
              <w:t>折扣率</w:t>
            </w:r>
            <w:r>
              <w:rPr>
                <w:sz w:val="21"/>
              </w:rPr>
              <w:t>×</w:t>
            </w:r>
            <w:r>
              <w:rPr>
                <w:sz w:val="21"/>
              </w:rPr>
              <w:t>按计费标准计算的费用</w:t>
            </w:r>
            <w:r>
              <w:rPr>
                <w:sz w:val="21"/>
              </w:rPr>
              <w:t>—</w:t>
            </w:r>
            <w:r>
              <w:rPr>
                <w:sz w:val="21"/>
              </w:rPr>
              <w:t>扣罚费用。</w:t>
            </w:r>
          </w:p>
          <w:p>
            <w:pPr>
              <w:pStyle w:val="null3"/>
              <w:jc w:val="both"/>
            </w:pPr>
            <w:r>
              <w:rPr>
                <w:sz w:val="21"/>
              </w:rPr>
              <w:t>3.</w:t>
            </w:r>
            <w:r>
              <w:rPr>
                <w:sz w:val="21"/>
              </w:rPr>
              <w:t>计费标准：见附件《杏坛镇财政资金投资评审工程造价咨询服务收费项目和收费标准表》，具体计算方法按招标文件和协议书的约定执行。</w:t>
            </w:r>
          </w:p>
          <w:p>
            <w:pPr>
              <w:pStyle w:val="null3"/>
              <w:jc w:val="both"/>
            </w:pPr>
            <w:r>
              <w:rPr>
                <w:sz w:val="21"/>
              </w:rPr>
              <w:t>4.</w:t>
            </w:r>
            <w:r>
              <w:rPr>
                <w:sz w:val="21"/>
              </w:rPr>
              <w:t>合同执行过程中，如甲方根据上级文件精神或工作实际，对计费标准及付费方式进行调整，乙方有权根据自身企业情况作出继续接受委托或退出委托的选择，此时如乙方选择退出，甲方将不作任何补偿。</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8.</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付款要求</w:t>
            </w:r>
          </w:p>
        </w:tc>
        <w:tc>
          <w:tcPr>
            <w:tcW w:type="dxa" w:w="5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乙方凭以下有效文件进行结算：</w:t>
            </w:r>
          </w:p>
          <w:p>
            <w:pPr>
              <w:pStyle w:val="null3"/>
              <w:jc w:val="both"/>
            </w:pPr>
            <w:r>
              <w:rPr>
                <w:sz w:val="21"/>
              </w:rPr>
              <w:t>（</w:t>
            </w:r>
            <w:r>
              <w:rPr>
                <w:sz w:val="21"/>
              </w:rPr>
              <w:t>1</w:t>
            </w:r>
            <w:r>
              <w:rPr>
                <w:sz w:val="21"/>
              </w:rPr>
              <w:t>）合同；</w:t>
            </w:r>
          </w:p>
          <w:p>
            <w:pPr>
              <w:pStyle w:val="null3"/>
              <w:jc w:val="both"/>
            </w:pPr>
            <w:r>
              <w:rPr>
                <w:sz w:val="21"/>
              </w:rPr>
              <w:t>（</w:t>
            </w:r>
            <w:r>
              <w:rPr>
                <w:sz w:val="21"/>
              </w:rPr>
              <w:t>2</w:t>
            </w:r>
            <w:r>
              <w:rPr>
                <w:sz w:val="21"/>
              </w:rPr>
              <w:t>）正式等额合法有效发票，收款方、出具发票方、合同乙方均必须与乙方名称一致；</w:t>
            </w:r>
          </w:p>
          <w:p>
            <w:pPr>
              <w:pStyle w:val="null3"/>
              <w:jc w:val="both"/>
            </w:pPr>
            <w:r>
              <w:rPr>
                <w:sz w:val="21"/>
              </w:rPr>
              <w:t>（</w:t>
            </w:r>
            <w:r>
              <w:rPr>
                <w:sz w:val="21"/>
              </w:rPr>
              <w:t>3</w:t>
            </w:r>
            <w:r>
              <w:rPr>
                <w:sz w:val="21"/>
              </w:rPr>
              <w:t>）中标通知书；</w:t>
            </w:r>
          </w:p>
          <w:p>
            <w:pPr>
              <w:pStyle w:val="null3"/>
              <w:jc w:val="both"/>
            </w:pPr>
            <w:r>
              <w:rPr>
                <w:sz w:val="21"/>
              </w:rPr>
              <w:t>（</w:t>
            </w:r>
            <w:r>
              <w:rPr>
                <w:sz w:val="21"/>
              </w:rPr>
              <w:t>4</w:t>
            </w:r>
            <w:r>
              <w:rPr>
                <w:sz w:val="21"/>
              </w:rPr>
              <w:t>）请款函。</w:t>
            </w:r>
          </w:p>
          <w:p>
            <w:pPr>
              <w:pStyle w:val="null3"/>
              <w:jc w:val="both"/>
            </w:pPr>
            <w:r>
              <w:rPr>
                <w:sz w:val="21"/>
              </w:rPr>
              <w:t>2.</w:t>
            </w:r>
            <w:r>
              <w:rPr>
                <w:sz w:val="21"/>
              </w:rPr>
              <w:t>因甲方使用的是财政资金，甲方在前款规定的付款时间为向政府采购支付部门提出办理财政支付申请手续的时间（不含政府财政支付部门审核的时间），在规定时间内提出支付申请手续后即视为已经按期支付。</w:t>
            </w:r>
          </w:p>
          <w:p>
            <w:pPr>
              <w:pStyle w:val="null3"/>
              <w:jc w:val="both"/>
            </w:pPr>
            <w:r>
              <w:rPr>
                <w:sz w:val="21"/>
              </w:rPr>
              <w:t>3.</w:t>
            </w:r>
            <w:r>
              <w:rPr>
                <w:sz w:val="21"/>
              </w:rPr>
              <w:t>付款期间如因特殊情况需调整，由双方协商处理。</w:t>
            </w:r>
          </w:p>
        </w:tc>
      </w:tr>
    </w:tbl>
    <w:p>
      <w:pPr>
        <w:pStyle w:val="null3"/>
        <w:jc w:val="both"/>
      </w:pPr>
      <w:r>
        <w:rPr>
          <w:sz w:val="21"/>
          <w:b/>
        </w:rPr>
        <w:t>三、服务对照执行标准：</w:t>
      </w:r>
    </w:p>
    <w:p>
      <w:pPr>
        <w:pStyle w:val="null3"/>
        <w:jc w:val="both"/>
      </w:pPr>
      <w:r>
        <w:rPr>
          <w:sz w:val="21"/>
          <w:color w:val="000000"/>
        </w:rPr>
        <w:t>1.</w:t>
      </w:r>
      <w:r>
        <w:rPr>
          <w:sz w:val="21"/>
          <w:color w:val="000000"/>
        </w:rPr>
        <w:t>符合中华人民共和国国家和履约地相关安全质量标准、行业技术规范标准；</w:t>
      </w:r>
    </w:p>
    <w:p>
      <w:pPr>
        <w:pStyle w:val="null3"/>
        <w:jc w:val="both"/>
      </w:pPr>
      <w:r>
        <w:rPr>
          <w:sz w:val="21"/>
          <w:color w:val="000000"/>
        </w:rPr>
        <w:t>2.</w:t>
      </w:r>
      <w:r>
        <w:rPr>
          <w:sz w:val="21"/>
          <w:color w:val="000000"/>
        </w:rPr>
        <w:t>符合招标文件和响应承诺中各方共同认可的合理要求；</w:t>
      </w:r>
    </w:p>
    <w:p>
      <w:pPr>
        <w:pStyle w:val="null3"/>
        <w:jc w:val="both"/>
      </w:pPr>
      <w:r>
        <w:rPr>
          <w:sz w:val="21"/>
          <w:color w:val="000000"/>
        </w:rPr>
        <w:t>上述各类标准与法规必须是有关官方机构最新发布的现行标准版本。</w:t>
      </w:r>
    </w:p>
    <w:p>
      <w:pPr>
        <w:pStyle w:val="null3"/>
        <w:jc w:val="both"/>
      </w:pPr>
      <w:r>
        <w:rPr>
          <w:sz w:val="21"/>
          <w:b/>
        </w:rPr>
        <w:t>四、成果文件要求</w:t>
      </w:r>
    </w:p>
    <w:p>
      <w:pPr>
        <w:pStyle w:val="null3"/>
        <w:jc w:val="both"/>
      </w:pPr>
      <w:r>
        <w:rPr>
          <w:sz w:val="21"/>
          <w:color w:val="000000"/>
        </w:rPr>
        <w:t>1</w:t>
      </w:r>
      <w:r>
        <w:rPr>
          <w:sz w:val="21"/>
          <w:color w:val="000000"/>
        </w:rPr>
        <w:t>．过程的审核痕迹资料。包括审核过程发现的问题与处理意见，与建设单位、建设单位委托的中介单位、施工单位在协调、取证、对数等过程中提出的问题及处理意见。</w:t>
      </w:r>
    </w:p>
    <w:p>
      <w:pPr>
        <w:pStyle w:val="null3"/>
        <w:jc w:val="both"/>
      </w:pPr>
      <w:r>
        <w:rPr>
          <w:sz w:val="21"/>
          <w:color w:val="000000"/>
        </w:rPr>
        <w:t>2</w:t>
      </w:r>
      <w:r>
        <w:rPr>
          <w:sz w:val="21"/>
          <w:color w:val="000000"/>
        </w:rPr>
        <w:t>．对于技术交底各项要求的响应。</w:t>
      </w:r>
    </w:p>
    <w:p>
      <w:pPr>
        <w:pStyle w:val="null3"/>
        <w:jc w:val="both"/>
      </w:pPr>
      <w:r>
        <w:rPr>
          <w:sz w:val="21"/>
          <w:color w:val="000000"/>
        </w:rPr>
        <w:t>3</w:t>
      </w:r>
      <w:r>
        <w:rPr>
          <w:sz w:val="21"/>
          <w:color w:val="000000"/>
        </w:rPr>
        <w:t>．审核结果与报送结果差异的分析。应把差异的每项内容列举，并简要分析。</w:t>
      </w:r>
    </w:p>
    <w:p>
      <w:pPr>
        <w:pStyle w:val="null3"/>
        <w:jc w:val="both"/>
      </w:pPr>
      <w:r>
        <w:rPr>
          <w:sz w:val="21"/>
          <w:color w:val="000000"/>
        </w:rPr>
        <w:t>4</w:t>
      </w:r>
      <w:r>
        <w:rPr>
          <w:sz w:val="21"/>
          <w:color w:val="000000"/>
        </w:rPr>
        <w:t>．工程主要指标分析。</w:t>
      </w:r>
    </w:p>
    <w:p>
      <w:pPr>
        <w:pStyle w:val="null3"/>
        <w:jc w:val="both"/>
      </w:pPr>
      <w:r>
        <w:rPr>
          <w:sz w:val="21"/>
          <w:color w:val="000000"/>
        </w:rPr>
        <w:t>5</w:t>
      </w:r>
      <w:r>
        <w:rPr>
          <w:sz w:val="21"/>
          <w:color w:val="000000"/>
        </w:rPr>
        <w:t>．工程量复核计算稿。</w:t>
      </w:r>
    </w:p>
    <w:p>
      <w:pPr>
        <w:pStyle w:val="null3"/>
        <w:jc w:val="both"/>
      </w:pPr>
      <w:r>
        <w:rPr>
          <w:sz w:val="21"/>
          <w:color w:val="000000"/>
        </w:rPr>
        <w:t>6</w:t>
      </w:r>
      <w:r>
        <w:rPr>
          <w:sz w:val="21"/>
          <w:color w:val="000000"/>
        </w:rPr>
        <w:t>．现场勘察的照片。</w:t>
      </w:r>
    </w:p>
    <w:p>
      <w:pPr>
        <w:pStyle w:val="null3"/>
        <w:jc w:val="both"/>
      </w:pPr>
      <w:r>
        <w:rPr>
          <w:sz w:val="21"/>
          <w:color w:val="000000"/>
        </w:rPr>
        <w:t>7</w:t>
      </w:r>
      <w:r>
        <w:rPr>
          <w:sz w:val="21"/>
          <w:color w:val="000000"/>
        </w:rPr>
        <w:t>．按委托人要求提交成果资料。</w:t>
      </w:r>
    </w:p>
    <w:p>
      <w:pPr>
        <w:pStyle w:val="null3"/>
        <w:jc w:val="both"/>
      </w:pPr>
      <w:r>
        <w:rPr>
          <w:sz w:val="21"/>
          <w:b/>
        </w:rPr>
        <w:t>五、投诉跟踪服务要求：</w:t>
      </w:r>
    </w:p>
    <w:p>
      <w:pPr>
        <w:pStyle w:val="null3"/>
        <w:jc w:val="left"/>
      </w:pPr>
      <w:r>
        <w:rPr>
          <w:sz w:val="21"/>
          <w:color w:val="000000"/>
        </w:rPr>
        <w:t>1.</w:t>
      </w:r>
      <w:r>
        <w:rPr>
          <w:sz w:val="21"/>
          <w:color w:val="000000"/>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jc w:val="left"/>
      </w:pPr>
      <w:r>
        <w:rPr>
          <w:sz w:val="21"/>
          <w:color w:val="000000"/>
        </w:rPr>
        <w:t>2.</w:t>
      </w:r>
      <w:r>
        <w:rPr>
          <w:sz w:val="21"/>
          <w:color w:val="000000"/>
        </w:rPr>
        <w:t>服务期内，甲方有权按本项目的管理要求对乙方进行不定期抽查检查，若对不合格的管理服务提出警告后，仍未得到有效解决时，甲方有权终止管理合同。</w:t>
      </w:r>
    </w:p>
    <w:p>
      <w:pPr>
        <w:pStyle w:val="null3"/>
        <w:jc w:val="left"/>
      </w:pPr>
      <w:r>
        <w:rPr>
          <w:sz w:val="21"/>
          <w:color w:val="000000"/>
        </w:rPr>
        <w:t>3.</w:t>
      </w:r>
      <w:r>
        <w:rPr>
          <w:sz w:val="21"/>
          <w:color w:val="000000"/>
        </w:rPr>
        <w:t>乙方服务机构名称及地址：</w:t>
      </w:r>
      <w:r>
        <w:rPr>
          <w:sz w:val="21"/>
        </w:rPr>
        <w:t xml:space="preserve"> </w:t>
      </w:r>
    </w:p>
    <w:p>
      <w:pPr>
        <w:pStyle w:val="null3"/>
        <w:ind w:firstLine="420"/>
        <w:jc w:val="both"/>
      </w:pPr>
      <w:r>
        <w:rPr>
          <w:sz w:val="21"/>
          <w:color w:val="000000"/>
        </w:rPr>
        <w:t>联系人</w:t>
      </w:r>
      <w:r>
        <w:rPr>
          <w:sz w:val="21"/>
          <w:color w:val="000000"/>
        </w:rPr>
        <w:t>1</w:t>
      </w:r>
      <w:r>
        <w:rPr>
          <w:sz w:val="21"/>
          <w:color w:val="000000"/>
        </w:rPr>
        <w:t>：          ，联系电话：            ，手机：          ；</w:t>
      </w:r>
    </w:p>
    <w:p>
      <w:pPr>
        <w:pStyle w:val="null3"/>
        <w:ind w:firstLine="420"/>
        <w:jc w:val="both"/>
      </w:pPr>
      <w:r>
        <w:rPr>
          <w:sz w:val="21"/>
          <w:color w:val="000000"/>
        </w:rPr>
        <w:t>联系人</w:t>
      </w:r>
      <w:r>
        <w:rPr>
          <w:sz w:val="21"/>
          <w:color w:val="000000"/>
        </w:rPr>
        <w:t>2</w:t>
      </w:r>
      <w:r>
        <w:rPr>
          <w:sz w:val="21"/>
          <w:color w:val="000000"/>
        </w:rPr>
        <w:t>：          ，联系电话：            ，手机：          ；</w:t>
      </w:r>
    </w:p>
    <w:p>
      <w:pPr>
        <w:pStyle w:val="null3"/>
        <w:ind w:firstLine="420"/>
        <w:jc w:val="both"/>
      </w:pPr>
      <w:r>
        <w:rPr>
          <w:sz w:val="21"/>
          <w:color w:val="000000"/>
        </w:rPr>
        <w:t>服务专线电话：</w:t>
      </w:r>
    </w:p>
    <w:p>
      <w:pPr>
        <w:pStyle w:val="null3"/>
        <w:jc w:val="both"/>
      </w:pPr>
      <w:r>
        <w:rPr>
          <w:sz w:val="21"/>
          <w:color w:val="000000"/>
        </w:rPr>
        <w:t>4.</w:t>
      </w:r>
      <w:r>
        <w:rPr>
          <w:sz w:val="21"/>
          <w:color w:val="000000"/>
        </w:rPr>
        <w:t>其他专业技术服务要求：（补充内容不得对招标文件和投标</w:t>
      </w:r>
      <w:r>
        <w:rPr>
          <w:sz w:val="21"/>
          <w:color w:val="000000"/>
        </w:rPr>
        <w:t>/</w:t>
      </w:r>
      <w:r>
        <w:rPr>
          <w:sz w:val="21"/>
          <w:color w:val="000000"/>
        </w:rPr>
        <w:t>响应文件作实质性修改）</w:t>
      </w:r>
    </w:p>
    <w:p>
      <w:pPr>
        <w:pStyle w:val="null3"/>
        <w:jc w:val="both"/>
      </w:pPr>
      <w:r>
        <w:rPr>
          <w:sz w:val="21"/>
          <w:u w:val="single"/>
        </w:rPr>
        <w:t xml:space="preserve">                                                          </w:t>
      </w:r>
      <w:r>
        <w:rPr>
          <w:sz w:val="21"/>
          <w:color w:val="000000"/>
        </w:rPr>
        <w:t>。</w:t>
      </w:r>
    </w:p>
    <w:p>
      <w:pPr>
        <w:pStyle w:val="null3"/>
        <w:jc w:val="both"/>
      </w:pPr>
      <w:r>
        <w:rPr>
          <w:sz w:val="21"/>
          <w:b/>
        </w:rPr>
        <w:t>六、验收要求：</w:t>
      </w:r>
    </w:p>
    <w:p>
      <w:pPr>
        <w:pStyle w:val="null3"/>
        <w:jc w:val="left"/>
      </w:pPr>
      <w:r>
        <w:rPr>
          <w:sz w:val="21"/>
          <w:color w:val="000000"/>
        </w:rPr>
        <w:t>1.</w:t>
      </w:r>
      <w:r>
        <w:rPr>
          <w:sz w:val="21"/>
          <w:color w:val="000000"/>
        </w:rPr>
        <w:t>甲方在收到乙方项目验收建议之日起</w:t>
      </w:r>
      <w:r>
        <w:rPr>
          <w:sz w:val="21"/>
          <w:color w:val="000000"/>
        </w:rPr>
        <w:t>7</w:t>
      </w:r>
      <w:r>
        <w:rPr>
          <w:sz w:val="21"/>
          <w:color w:val="000000"/>
        </w:rPr>
        <w:t>个工作日内按照合同的约定对履约情况进行验收。乙方需为验收提供必需的一切条件，并提供本项目的相关文档和验收所需资料，积极配合甲方完成验收工作。</w:t>
      </w:r>
    </w:p>
    <w:p>
      <w:pPr>
        <w:pStyle w:val="null3"/>
        <w:jc w:val="left"/>
      </w:pPr>
      <w:r>
        <w:rPr>
          <w:sz w:val="21"/>
          <w:color w:val="000000"/>
        </w:rPr>
        <w:t>2.</w:t>
      </w:r>
      <w:r>
        <w:rPr>
          <w:sz w:val="21"/>
          <w:color w:val="000000"/>
        </w:rPr>
        <w:t>乙方须为验收提供必需的一切条件。</w:t>
      </w:r>
    </w:p>
    <w:p>
      <w:pPr>
        <w:pStyle w:val="null3"/>
        <w:jc w:val="left"/>
      </w:pPr>
      <w:r>
        <w:rPr>
          <w:sz w:val="21"/>
          <w:color w:val="000000"/>
        </w:rPr>
        <w:t>3.</w:t>
      </w:r>
      <w:r>
        <w:rPr>
          <w:sz w:val="21"/>
          <w:color w:val="000000"/>
        </w:rPr>
        <w:t>项目验收依次序对照执行标准</w:t>
      </w:r>
    </w:p>
    <w:p>
      <w:pPr>
        <w:pStyle w:val="null3"/>
        <w:jc w:val="left"/>
      </w:pPr>
      <w:r>
        <w:rPr>
          <w:sz w:val="21"/>
          <w:color w:val="000000"/>
        </w:rPr>
        <w:t>（</w:t>
      </w:r>
      <w:r>
        <w:rPr>
          <w:sz w:val="21"/>
          <w:color w:val="000000"/>
        </w:rPr>
        <w:t>1</w:t>
      </w:r>
      <w:r>
        <w:rPr>
          <w:sz w:val="21"/>
          <w:color w:val="000000"/>
        </w:rPr>
        <w:t>）符合中华人民共和国国家和履约地相关安全质量标准、行业技术规范标准、环保节能标准；</w:t>
      </w:r>
    </w:p>
    <w:p>
      <w:pPr>
        <w:pStyle w:val="null3"/>
        <w:jc w:val="left"/>
      </w:pPr>
      <w:r>
        <w:rPr>
          <w:sz w:val="21"/>
          <w:color w:val="000000"/>
        </w:rPr>
        <w:t>（</w:t>
      </w:r>
      <w:r>
        <w:rPr>
          <w:sz w:val="21"/>
          <w:color w:val="000000"/>
        </w:rPr>
        <w:t>2</w:t>
      </w:r>
      <w:r>
        <w:rPr>
          <w:sz w:val="21"/>
          <w:color w:val="000000"/>
        </w:rPr>
        <w:t>）符合招标文件和投标承诺中各方共同认可的各项要求；</w:t>
      </w:r>
    </w:p>
    <w:p>
      <w:pPr>
        <w:pStyle w:val="null3"/>
        <w:jc w:val="left"/>
      </w:pPr>
      <w:r>
        <w:rPr>
          <w:sz w:val="21"/>
          <w:color w:val="000000"/>
        </w:rPr>
        <w:t>（</w:t>
      </w:r>
      <w:r>
        <w:rPr>
          <w:sz w:val="21"/>
          <w:color w:val="000000"/>
        </w:rPr>
        <w:t>3</w:t>
      </w:r>
      <w:r>
        <w:rPr>
          <w:sz w:val="21"/>
          <w:color w:val="000000"/>
        </w:rPr>
        <w:t>）上述各类标准与法规必须是有关官方机构最新发布的现行标准版本。</w:t>
      </w:r>
    </w:p>
    <w:p>
      <w:pPr>
        <w:pStyle w:val="null3"/>
        <w:jc w:val="left"/>
      </w:pPr>
      <w:r>
        <w:rPr>
          <w:sz w:val="21"/>
          <w:color w:val="000000"/>
        </w:rPr>
        <w:t>4.</w:t>
      </w:r>
      <w:r>
        <w:rPr>
          <w:sz w:val="21"/>
          <w:color w:val="000000"/>
        </w:rPr>
        <w:t>其他验收要求：（补充内容不得对招标文件和投标</w:t>
      </w:r>
      <w:r>
        <w:rPr>
          <w:sz w:val="21"/>
          <w:color w:val="000000"/>
        </w:rPr>
        <w:t>/</w:t>
      </w:r>
      <w:r>
        <w:rPr>
          <w:sz w:val="21"/>
          <w:color w:val="000000"/>
        </w:rPr>
        <w:t>响应文件作实质性修改）</w:t>
      </w:r>
    </w:p>
    <w:p>
      <w:pPr>
        <w:pStyle w:val="null3"/>
        <w:ind w:firstLine="420"/>
        <w:jc w:val="both"/>
      </w:pPr>
      <w:r>
        <w:rPr>
          <w:sz w:val="21"/>
          <w:u w:val="single"/>
        </w:rPr>
        <w:t xml:space="preserve">                                                                </w:t>
      </w:r>
      <w:r>
        <w:rPr>
          <w:sz w:val="21"/>
          <w:color w:val="000000"/>
        </w:rPr>
        <w:t>。</w:t>
      </w:r>
    </w:p>
    <w:p>
      <w:pPr>
        <w:pStyle w:val="null3"/>
        <w:jc w:val="both"/>
      </w:pPr>
      <w:r>
        <w:rPr>
          <w:sz w:val="21"/>
          <w:b/>
        </w:rPr>
        <w:t>七、保密要求</w:t>
      </w:r>
    </w:p>
    <w:p>
      <w:pPr>
        <w:pStyle w:val="null3"/>
        <w:jc w:val="left"/>
      </w:pPr>
      <w:r>
        <w:rPr>
          <w:sz w:val="21"/>
          <w:color w:val="000000"/>
        </w:rPr>
        <w:t>1</w:t>
      </w:r>
      <w:r>
        <w:rPr>
          <w:sz w:val="21"/>
          <w:color w:val="000000"/>
        </w:rPr>
        <w:t>．乙方应严格遵守甲方提出的各项规章制度和廉政纪律要求。</w:t>
      </w:r>
    </w:p>
    <w:p>
      <w:pPr>
        <w:pStyle w:val="null3"/>
        <w:jc w:val="left"/>
      </w:pPr>
      <w:r>
        <w:rPr>
          <w:sz w:val="21"/>
          <w:color w:val="000000"/>
        </w:rPr>
        <w:t>2</w:t>
      </w:r>
      <w:r>
        <w:rPr>
          <w:sz w:val="21"/>
          <w:color w:val="000000"/>
        </w:rPr>
        <w:t>．为实施对乙方编审结果准确性的监督，甲方有权委托有关部门、其他乙方或由甲方对乙方的编审结果进行抽样复核、审查。对项目评审工作底稿等内容，甲方将随时随机进行抽查。乙方必须无条件配合甲方做好复审、复核和考核工作。</w:t>
      </w:r>
    </w:p>
    <w:p>
      <w:pPr>
        <w:pStyle w:val="null3"/>
        <w:jc w:val="left"/>
      </w:pPr>
      <w:r>
        <w:rPr>
          <w:sz w:val="21"/>
          <w:color w:val="000000"/>
        </w:rPr>
        <w:t>3</w:t>
      </w:r>
      <w:r>
        <w:rPr>
          <w:sz w:val="21"/>
          <w:color w:val="000000"/>
        </w:rPr>
        <w:t>．乙方不得再接受除甲方外的其他委托人对同一项目服务委托，即不能就同一项目既接受财政部门的委托，又接受项目发包、承包单位等相对利益关系人的委托。</w:t>
      </w:r>
    </w:p>
    <w:p>
      <w:pPr>
        <w:pStyle w:val="null3"/>
        <w:jc w:val="left"/>
      </w:pPr>
      <w:r>
        <w:rPr>
          <w:sz w:val="21"/>
          <w:color w:val="000000"/>
        </w:rPr>
        <w:t>4</w:t>
      </w:r>
      <w:r>
        <w:rPr>
          <w:sz w:val="21"/>
          <w:color w:val="000000"/>
        </w:rPr>
        <w:t>．与委托项目有厉害关系的，乙方须主动向甲方提出回避，可能对项目评审结论产生影响的，应当主动向甲方报告并进行回避。</w:t>
      </w:r>
    </w:p>
    <w:p>
      <w:pPr>
        <w:pStyle w:val="null3"/>
        <w:jc w:val="left"/>
      </w:pPr>
      <w:r>
        <w:rPr>
          <w:sz w:val="21"/>
        </w:rPr>
        <w:t>5</w:t>
      </w:r>
      <w:r>
        <w:rPr>
          <w:sz w:val="21"/>
        </w:rPr>
        <w:t>．</w:t>
      </w:r>
      <w:r>
        <w:rPr>
          <w:sz w:val="21"/>
          <w:color w:val="000000"/>
        </w:rPr>
        <w:t>乙方对甲方委托的评审项目的有关资料、信息、报告及结论须承担保密责任，并对因泄密造成的后果负经济和法律责任。未经甲方许可，不得将上述情况泄露和提供给他人。</w:t>
      </w:r>
    </w:p>
    <w:p>
      <w:pPr>
        <w:pStyle w:val="null3"/>
        <w:jc w:val="both"/>
      </w:pPr>
      <w:r>
        <w:rPr>
          <w:sz w:val="21"/>
          <w:b/>
        </w:rPr>
        <w:t>八、成果归属</w:t>
      </w:r>
    </w:p>
    <w:p>
      <w:pPr>
        <w:pStyle w:val="null3"/>
        <w:jc w:val="left"/>
      </w:pPr>
      <w:r>
        <w:rPr>
          <w:sz w:val="21"/>
          <w:color w:val="000000"/>
        </w:rPr>
        <w:t>1.</w:t>
      </w:r>
      <w:r>
        <w:rPr>
          <w:sz w:val="21"/>
          <w:color w:val="000000"/>
        </w:rPr>
        <w:t>本项目的所有成果著作权等知识产权和所有权益归甲方所有。未经甲方书面同意，乙方不得引用、发表和向第三者提供。</w:t>
      </w:r>
    </w:p>
    <w:p>
      <w:pPr>
        <w:pStyle w:val="null3"/>
        <w:jc w:val="left"/>
      </w:pPr>
      <w:r>
        <w:rPr>
          <w:sz w:val="21"/>
          <w:color w:val="000000"/>
        </w:rPr>
        <w:t>2.</w:t>
      </w:r>
      <w:r>
        <w:rPr>
          <w:sz w:val="21"/>
          <w:color w:val="000000"/>
        </w:rPr>
        <w:t>甲方引用乙方的工作成果所完成的新的技术成果，属于甲方所有，甲方可依法享有就该项技术成果取得的精神权利、经济权利和其他权利。</w:t>
      </w:r>
    </w:p>
    <w:p>
      <w:pPr>
        <w:pStyle w:val="null3"/>
        <w:jc w:val="left"/>
      </w:pPr>
      <w:r>
        <w:rPr>
          <w:sz w:val="21"/>
          <w:color w:val="000000"/>
        </w:rPr>
        <w:t>3.</w:t>
      </w:r>
      <w:r>
        <w:rPr>
          <w:sz w:val="21"/>
          <w:color w:val="000000"/>
        </w:rPr>
        <w:t>无论发生不限于合同何种情形（包括但提前终止或解除），甲方均有权利用乙方的阶段性工作成果，并且甲方引用乙方的阶段性工作成果所完成的新的技术成果，属于甲方所有，甲方可依法享有就该项技术成果取得的精神权利、经济权利和其他权利。</w:t>
      </w:r>
    </w:p>
    <w:p>
      <w:pPr>
        <w:pStyle w:val="null3"/>
        <w:jc w:val="both"/>
      </w:pPr>
      <w:r>
        <w:rPr>
          <w:sz w:val="21"/>
          <w:b/>
        </w:rPr>
        <w:t>九、违约责任：</w:t>
      </w:r>
    </w:p>
    <w:p>
      <w:pPr>
        <w:pStyle w:val="null3"/>
        <w:ind w:firstLine="420"/>
        <w:jc w:val="left"/>
      </w:pPr>
      <w:r>
        <w:rPr>
          <w:sz w:val="21"/>
          <w:color w:val="000000"/>
        </w:rPr>
        <w:t>对乙方出现审核质量问题、审核超时、违反程序和泄密等违约行为的，甲方有权对违约乙方按委托协议进行警告、减少委托任务、扣减委托费、解除委托，并对其所造成的经济损失和法律纠纷依法追究经济和法律责任。</w:t>
      </w:r>
    </w:p>
    <w:p>
      <w:pPr>
        <w:pStyle w:val="null3"/>
        <w:jc w:val="left"/>
      </w:pPr>
      <w:r>
        <w:rPr>
          <w:sz w:val="21"/>
          <w:color w:val="000000"/>
        </w:rPr>
        <w:t>1.</w:t>
      </w:r>
      <w:r>
        <w:rPr>
          <w:sz w:val="21"/>
          <w:color w:val="000000"/>
        </w:rPr>
        <w:t>对出现审核质量问题的处罚。为实施对审价结果准确性的监督，甲方有权委托有关部门、其他审价机构对乙方的编审结果进行复审，如经复审发现乙方的编审结果与复核结果存在差异且偏差率</w:t>
      </w:r>
      <w:r>
        <w:rPr>
          <w:sz w:val="21"/>
          <w:color w:val="000000"/>
        </w:rPr>
        <w:t>i</w:t>
      </w:r>
      <w:r>
        <w:rPr>
          <w:sz w:val="21"/>
          <w:color w:val="000000"/>
        </w:rPr>
        <w:t>超过以下情况的（其中</w:t>
      </w:r>
      <w:r>
        <w:rPr>
          <w:sz w:val="21"/>
          <w:color w:val="000000"/>
        </w:rPr>
        <w:t>i=(</w:t>
      </w:r>
      <w:r>
        <w:rPr>
          <w:sz w:val="21"/>
          <w:color w:val="000000"/>
        </w:rPr>
        <w:t>审价机构审核金额</w:t>
      </w:r>
      <w:r>
        <w:rPr>
          <w:sz w:val="21"/>
          <w:color w:val="000000"/>
        </w:rPr>
        <w:t>-</w:t>
      </w:r>
      <w:r>
        <w:rPr>
          <w:sz w:val="21"/>
          <w:color w:val="000000"/>
        </w:rPr>
        <w:t>经确认的复核金额</w:t>
      </w:r>
      <w:r>
        <w:rPr>
          <w:sz w:val="21"/>
          <w:color w:val="000000"/>
        </w:rPr>
        <w:t>)/</w:t>
      </w:r>
      <w:r>
        <w:rPr>
          <w:sz w:val="21"/>
          <w:color w:val="000000"/>
        </w:rPr>
        <w:t>经确认的复核金额），且证实是乙方审核结果存在问题的，对相应的乙方作出如下的处理：</w:t>
      </w:r>
    </w:p>
    <w:p>
      <w:pPr>
        <w:pStyle w:val="null3"/>
        <w:jc w:val="left"/>
      </w:pPr>
      <w:r>
        <w:rPr>
          <w:sz w:val="21"/>
          <w:color w:val="000000"/>
        </w:rPr>
        <w:t>(1)</w:t>
      </w:r>
      <w:r>
        <w:rPr>
          <w:sz w:val="21"/>
          <w:color w:val="000000"/>
        </w:rPr>
        <w:t>︱</w:t>
      </w:r>
      <w:r>
        <w:rPr>
          <w:sz w:val="21"/>
          <w:color w:val="000000"/>
        </w:rPr>
        <w:t>i</w:t>
      </w:r>
      <w:r>
        <w:rPr>
          <w:sz w:val="21"/>
          <w:color w:val="000000"/>
        </w:rPr>
        <w:t>︱</w:t>
      </w:r>
      <w:r>
        <w:rPr>
          <w:sz w:val="21"/>
          <w:color w:val="000000"/>
        </w:rPr>
        <w:t>≦10%</w:t>
      </w:r>
      <w:r>
        <w:rPr>
          <w:sz w:val="21"/>
          <w:color w:val="000000"/>
        </w:rPr>
        <w:t>内（︱</w:t>
      </w:r>
      <w:r>
        <w:rPr>
          <w:sz w:val="21"/>
          <w:color w:val="000000"/>
        </w:rPr>
        <w:t>i</w:t>
      </w:r>
      <w:r>
        <w:rPr>
          <w:sz w:val="21"/>
          <w:color w:val="000000"/>
        </w:rPr>
        <w:t>︱为</w:t>
      </w:r>
      <w:r>
        <w:rPr>
          <w:sz w:val="21"/>
          <w:color w:val="000000"/>
        </w:rPr>
        <w:t>i</w:t>
      </w:r>
      <w:r>
        <w:rPr>
          <w:sz w:val="21"/>
          <w:color w:val="000000"/>
        </w:rPr>
        <w:t>的数学绝对值），对负责审价的乙方进行口头或书面警告处理。但子项偏差超过</w:t>
      </w:r>
      <w:r>
        <w:rPr>
          <w:sz w:val="21"/>
          <w:color w:val="000000"/>
        </w:rPr>
        <w:t>50</w:t>
      </w:r>
      <w:r>
        <w:rPr>
          <w:sz w:val="21"/>
          <w:color w:val="000000"/>
        </w:rPr>
        <w:t>万元以上的项目，每出现一次按扣减委托费的</w:t>
      </w:r>
      <w:r>
        <w:rPr>
          <w:sz w:val="21"/>
          <w:color w:val="000000"/>
        </w:rPr>
        <w:t>5%</w:t>
      </w:r>
      <w:r>
        <w:rPr>
          <w:sz w:val="21"/>
          <w:color w:val="000000"/>
        </w:rPr>
        <w:t>处理，累计扣减不超过委托费的</w:t>
      </w:r>
      <w:r>
        <w:rPr>
          <w:sz w:val="21"/>
          <w:color w:val="000000"/>
        </w:rPr>
        <w:t>10%</w:t>
      </w:r>
      <w:r>
        <w:rPr>
          <w:sz w:val="21"/>
          <w:color w:val="000000"/>
        </w:rPr>
        <w:t>。</w:t>
      </w:r>
    </w:p>
    <w:p>
      <w:pPr>
        <w:pStyle w:val="null3"/>
        <w:jc w:val="left"/>
      </w:pPr>
      <w:r>
        <w:rPr>
          <w:sz w:val="21"/>
          <w:color w:val="000000"/>
        </w:rPr>
        <w:t>(2)10%</w:t>
      </w:r>
      <w:r>
        <w:rPr>
          <w:sz w:val="21"/>
          <w:color w:val="000000"/>
        </w:rPr>
        <w:t>＜︱</w:t>
      </w:r>
      <w:r>
        <w:rPr>
          <w:sz w:val="21"/>
          <w:color w:val="000000"/>
        </w:rPr>
        <w:t>i</w:t>
      </w:r>
      <w:r>
        <w:rPr>
          <w:sz w:val="21"/>
          <w:color w:val="000000"/>
        </w:rPr>
        <w:t>︱</w:t>
      </w:r>
      <w:r>
        <w:rPr>
          <w:sz w:val="21"/>
          <w:color w:val="000000"/>
        </w:rPr>
        <w:t>≦20%</w:t>
      </w:r>
      <w:r>
        <w:rPr>
          <w:sz w:val="21"/>
          <w:color w:val="000000"/>
        </w:rPr>
        <w:t>的，扣减委托费的</w:t>
      </w:r>
      <w:r>
        <w:rPr>
          <w:sz w:val="21"/>
          <w:color w:val="000000"/>
        </w:rPr>
        <w:t>20%</w:t>
      </w:r>
      <w:r>
        <w:rPr>
          <w:sz w:val="21"/>
          <w:color w:val="000000"/>
        </w:rPr>
        <w:t>。</w:t>
      </w:r>
    </w:p>
    <w:p>
      <w:pPr>
        <w:pStyle w:val="null3"/>
        <w:jc w:val="left"/>
      </w:pPr>
      <w:r>
        <w:rPr>
          <w:sz w:val="21"/>
          <w:color w:val="000000"/>
        </w:rPr>
        <w:t>(3)20%</w:t>
      </w:r>
      <w:r>
        <w:rPr>
          <w:sz w:val="21"/>
          <w:color w:val="000000"/>
        </w:rPr>
        <w:t>＜︱</w:t>
      </w:r>
      <w:r>
        <w:rPr>
          <w:sz w:val="21"/>
          <w:color w:val="000000"/>
        </w:rPr>
        <w:t>i</w:t>
      </w:r>
      <w:r>
        <w:rPr>
          <w:sz w:val="21"/>
          <w:color w:val="000000"/>
        </w:rPr>
        <w:t>︱</w:t>
      </w:r>
      <w:r>
        <w:rPr>
          <w:sz w:val="21"/>
          <w:color w:val="000000"/>
        </w:rPr>
        <w:t>≦30%</w:t>
      </w:r>
      <w:r>
        <w:rPr>
          <w:sz w:val="21"/>
          <w:color w:val="000000"/>
        </w:rPr>
        <w:t>的，扣减委托费的</w:t>
      </w:r>
      <w:r>
        <w:rPr>
          <w:sz w:val="21"/>
          <w:color w:val="000000"/>
        </w:rPr>
        <w:t>30%</w:t>
      </w:r>
      <w:r>
        <w:rPr>
          <w:sz w:val="21"/>
          <w:color w:val="000000"/>
        </w:rPr>
        <w:t>，</w:t>
      </w:r>
    </w:p>
    <w:p>
      <w:pPr>
        <w:pStyle w:val="null3"/>
        <w:jc w:val="left"/>
      </w:pPr>
      <w:r>
        <w:rPr>
          <w:sz w:val="21"/>
          <w:color w:val="000000"/>
        </w:rPr>
        <w:t>(4)</w:t>
      </w:r>
      <w:r>
        <w:rPr>
          <w:sz w:val="21"/>
          <w:color w:val="000000"/>
        </w:rPr>
        <w:t>︱</w:t>
      </w:r>
      <w:r>
        <w:rPr>
          <w:sz w:val="21"/>
          <w:color w:val="000000"/>
        </w:rPr>
        <w:t>i</w:t>
      </w:r>
      <w:r>
        <w:rPr>
          <w:sz w:val="21"/>
          <w:color w:val="000000"/>
        </w:rPr>
        <w:t>︱＞</w:t>
      </w:r>
      <w:r>
        <w:rPr>
          <w:sz w:val="21"/>
          <w:color w:val="000000"/>
        </w:rPr>
        <w:t>30%</w:t>
      </w:r>
      <w:r>
        <w:rPr>
          <w:sz w:val="21"/>
          <w:color w:val="000000"/>
        </w:rPr>
        <w:t>，扣减委托费的</w:t>
      </w:r>
      <w:r>
        <w:rPr>
          <w:sz w:val="21"/>
          <w:color w:val="000000"/>
        </w:rPr>
        <w:t>100%</w:t>
      </w:r>
      <w:r>
        <w:rPr>
          <w:sz w:val="21"/>
          <w:color w:val="000000"/>
        </w:rPr>
        <w:t>，若在协议期内，出现两次上述情况，则终止委托协议关系。</w:t>
      </w:r>
    </w:p>
    <w:p>
      <w:pPr>
        <w:pStyle w:val="null3"/>
        <w:jc w:val="left"/>
      </w:pPr>
      <w:r>
        <w:rPr>
          <w:sz w:val="21"/>
          <w:color w:val="000000"/>
        </w:rPr>
        <w:t>(5)</w:t>
      </w:r>
      <w:r>
        <w:rPr>
          <w:sz w:val="21"/>
          <w:color w:val="000000"/>
        </w:rPr>
        <w:t>出错情节特别严重的，可作出减少委托任务或提出取消其委托合作关系的处理。</w:t>
      </w:r>
    </w:p>
    <w:p>
      <w:pPr>
        <w:pStyle w:val="null3"/>
        <w:jc w:val="left"/>
      </w:pPr>
      <w:r>
        <w:rPr>
          <w:sz w:val="21"/>
          <w:color w:val="000000"/>
        </w:rPr>
        <w:t>(6)</w:t>
      </w:r>
      <w:r>
        <w:rPr>
          <w:sz w:val="21"/>
          <w:color w:val="000000"/>
        </w:rPr>
        <w:t>对已拨付委托费但事后需要抽查或审计的项目，若负责审价的乙方提供的审核结果有问题需扣减相应委托费的，在该乙方今后实施的项目委托费中抵扣。</w:t>
      </w:r>
    </w:p>
    <w:p>
      <w:pPr>
        <w:pStyle w:val="null3"/>
        <w:jc w:val="left"/>
      </w:pPr>
      <w:r>
        <w:rPr>
          <w:sz w:val="21"/>
          <w:color w:val="000000"/>
        </w:rPr>
        <w:t>2.</w:t>
      </w:r>
      <w:r>
        <w:rPr>
          <w:sz w:val="21"/>
          <w:color w:val="000000"/>
        </w:rPr>
        <w:t>逾期的处罚。建设单位报送资料齐全，因审价的乙方自身因素，未能按约定的时间提交初稿和定案稿进行复核和对复审意见处理不及时的，按如下规定处理：</w:t>
      </w:r>
    </w:p>
    <w:p>
      <w:pPr>
        <w:pStyle w:val="null3"/>
        <w:jc w:val="left"/>
      </w:pPr>
      <w:r>
        <w:rPr>
          <w:sz w:val="21"/>
          <w:color w:val="000000"/>
        </w:rPr>
        <w:t>(1)</w:t>
      </w:r>
      <w:r>
        <w:rPr>
          <w:sz w:val="21"/>
          <w:color w:val="000000"/>
        </w:rPr>
        <w:t>逾期</w:t>
      </w:r>
      <w:r>
        <w:rPr>
          <w:sz w:val="21"/>
          <w:color w:val="000000"/>
        </w:rPr>
        <w:t>5</w:t>
      </w:r>
      <w:r>
        <w:rPr>
          <w:sz w:val="21"/>
          <w:color w:val="000000"/>
        </w:rPr>
        <w:t>个工作日内的，扣减委托费的</w:t>
      </w:r>
      <w:r>
        <w:rPr>
          <w:sz w:val="21"/>
          <w:color w:val="000000"/>
        </w:rPr>
        <w:t>20%</w:t>
      </w:r>
      <w:r>
        <w:rPr>
          <w:sz w:val="21"/>
          <w:color w:val="000000"/>
        </w:rPr>
        <w:t>。</w:t>
      </w:r>
    </w:p>
    <w:p>
      <w:pPr>
        <w:pStyle w:val="null3"/>
        <w:jc w:val="left"/>
      </w:pPr>
      <w:r>
        <w:rPr>
          <w:sz w:val="21"/>
          <w:color w:val="000000"/>
        </w:rPr>
        <w:t>(2)</w:t>
      </w:r>
      <w:r>
        <w:rPr>
          <w:sz w:val="21"/>
          <w:color w:val="000000"/>
        </w:rPr>
        <w:t>逾期超过</w:t>
      </w:r>
      <w:r>
        <w:rPr>
          <w:sz w:val="21"/>
          <w:color w:val="000000"/>
        </w:rPr>
        <w:t>5</w:t>
      </w:r>
      <w:r>
        <w:rPr>
          <w:sz w:val="21"/>
          <w:color w:val="000000"/>
        </w:rPr>
        <w:t>个工作日又未达到</w:t>
      </w:r>
      <w:r>
        <w:rPr>
          <w:sz w:val="21"/>
          <w:color w:val="000000"/>
        </w:rPr>
        <w:t>10</w:t>
      </w:r>
      <w:r>
        <w:rPr>
          <w:sz w:val="21"/>
          <w:color w:val="000000"/>
        </w:rPr>
        <w:t>个工作日的，扣减委托费的</w:t>
      </w:r>
      <w:r>
        <w:rPr>
          <w:sz w:val="21"/>
          <w:color w:val="000000"/>
        </w:rPr>
        <w:t>50%</w:t>
      </w:r>
      <w:r>
        <w:rPr>
          <w:sz w:val="21"/>
          <w:color w:val="000000"/>
        </w:rPr>
        <w:t>。</w:t>
      </w:r>
    </w:p>
    <w:p>
      <w:pPr>
        <w:pStyle w:val="null3"/>
        <w:jc w:val="left"/>
      </w:pPr>
      <w:r>
        <w:rPr>
          <w:sz w:val="21"/>
          <w:color w:val="000000"/>
        </w:rPr>
        <w:t>(3)</w:t>
      </w:r>
      <w:r>
        <w:rPr>
          <w:sz w:val="21"/>
          <w:color w:val="000000"/>
        </w:rPr>
        <w:t>逾期超过</w:t>
      </w:r>
      <w:r>
        <w:rPr>
          <w:sz w:val="21"/>
          <w:color w:val="000000"/>
        </w:rPr>
        <w:t>10</w:t>
      </w:r>
      <w:r>
        <w:rPr>
          <w:sz w:val="21"/>
          <w:color w:val="000000"/>
        </w:rPr>
        <w:t>个工作日，扣减委托费的</w:t>
      </w:r>
      <w:r>
        <w:rPr>
          <w:sz w:val="21"/>
          <w:color w:val="000000"/>
        </w:rPr>
        <w:t>100%</w:t>
      </w:r>
      <w:r>
        <w:rPr>
          <w:sz w:val="21"/>
          <w:color w:val="000000"/>
        </w:rPr>
        <w:t>，并终止委托协议关系。</w:t>
      </w:r>
    </w:p>
    <w:p>
      <w:pPr>
        <w:pStyle w:val="null3"/>
        <w:jc w:val="left"/>
      </w:pPr>
      <w:r>
        <w:rPr>
          <w:sz w:val="21"/>
          <w:color w:val="000000"/>
        </w:rPr>
        <w:t>3</w:t>
      </w:r>
      <w:r>
        <w:rPr>
          <w:sz w:val="21"/>
          <w:color w:val="000000"/>
        </w:rPr>
        <w:t>．乙方不按协议完成委托业务、审核中出现严重错误或发生与委托业务相抵触的行为，除乙方与委托项目有利害关系需回避外，对在协议期间拒绝接受分配任务的乙方，甲方有权终止该乙方的服务合同，追究其相关的法律和经济责任，所造成的一切损失由其负责。</w:t>
      </w:r>
    </w:p>
    <w:p>
      <w:pPr>
        <w:pStyle w:val="null3"/>
        <w:jc w:val="left"/>
      </w:pPr>
      <w:r>
        <w:rPr>
          <w:sz w:val="21"/>
          <w:color w:val="000000"/>
        </w:rPr>
        <w:t>4</w:t>
      </w:r>
      <w:r>
        <w:rPr>
          <w:sz w:val="21"/>
          <w:color w:val="000000"/>
        </w:rPr>
        <w:t>．实行廉政建设一票否决制。委托服务期间，甲方若发现乙方或乙方审核人员有弄虚作假、玩忽职守、徇私舞弊等违规违纪现象，或与施工、设计、监理和编制等单位串通，违反诚实信用和投标承诺等，以谋取非法利益或损害政府利益的，一经甲方查实，甲方有权对违约乙方按委托协议约定进行警告、扣减委托费、减少委托任务、解除委托和不得参与甲方下一次相同项目投标等处罚，并对其所造成的经济损失和法律纠纷依法追究经济和法律责任。</w:t>
      </w:r>
    </w:p>
    <w:p>
      <w:pPr>
        <w:pStyle w:val="null3"/>
        <w:jc w:val="left"/>
      </w:pPr>
      <w:r>
        <w:rPr>
          <w:sz w:val="21"/>
          <w:color w:val="000000"/>
        </w:rPr>
        <w:t>5</w:t>
      </w:r>
      <w:r>
        <w:rPr>
          <w:sz w:val="21"/>
          <w:color w:val="000000"/>
        </w:rPr>
        <w:t>．对拒绝接受甲方监督检查和管理的乙方，甲方有权</w:t>
      </w:r>
      <w:r>
        <w:rPr>
          <w:sz w:val="21"/>
        </w:rPr>
        <w:t>解除合同</w:t>
      </w:r>
      <w:r>
        <w:rPr>
          <w:sz w:val="21"/>
          <w:color w:val="000000"/>
        </w:rPr>
        <w:t>。</w:t>
      </w:r>
    </w:p>
    <w:p>
      <w:pPr>
        <w:pStyle w:val="null3"/>
        <w:jc w:val="left"/>
      </w:pPr>
      <w:r>
        <w:rPr>
          <w:sz w:val="21"/>
          <w:color w:val="000000"/>
        </w:rPr>
        <w:t>6</w:t>
      </w:r>
      <w:r>
        <w:rPr>
          <w:sz w:val="21"/>
          <w:color w:val="000000"/>
        </w:rPr>
        <w:t>．乙方必须独立完成甲方委托的评审任务，不得将评审业务转让给第三方实施。甲方若发现乙方将甲方委托的评审业务转让给第三方实施的，一经证实，甲方有权对违约乙方按委托协议约定解除委托，并对其所造成的经济损失和法律纠纷依法追究经济和法律责任。</w:t>
      </w:r>
    </w:p>
    <w:p>
      <w:pPr>
        <w:pStyle w:val="null3"/>
        <w:jc w:val="left"/>
      </w:pPr>
      <w:r>
        <w:rPr>
          <w:sz w:val="21"/>
          <w:color w:val="000000"/>
        </w:rPr>
        <w:t>7</w:t>
      </w:r>
      <w:r>
        <w:rPr>
          <w:sz w:val="21"/>
          <w:color w:val="000000"/>
        </w:rPr>
        <w:t>．因乙方原因导致项目评审结论不实，引起诉讼和纠纷的，该乙方除承担相关责任外，甲方还将根据情节的严重程度对此乙方作出通报批评、扣减评审费用、停止委托新的评审任务和解除委托服务协议书等处罚。</w:t>
      </w:r>
    </w:p>
    <w:p>
      <w:pPr>
        <w:pStyle w:val="null3"/>
        <w:jc w:val="left"/>
      </w:pPr>
      <w:r>
        <w:rPr>
          <w:sz w:val="21"/>
          <w:color w:val="000000"/>
        </w:rPr>
        <w:t>8</w:t>
      </w:r>
      <w:r>
        <w:rPr>
          <w:sz w:val="21"/>
          <w:color w:val="000000"/>
        </w:rPr>
        <w:t>．对乙方出现的其他严重违法违规行为，甲方有权终止该乙方的审核活动，追究其相关的法律和经济责任，所造成的一切损失由其负责。</w:t>
      </w:r>
    </w:p>
    <w:p>
      <w:pPr>
        <w:pStyle w:val="null3"/>
        <w:jc w:val="left"/>
      </w:pPr>
      <w:r>
        <w:rPr>
          <w:sz w:val="21"/>
          <w:color w:val="000000"/>
        </w:rPr>
        <w:t>9</w:t>
      </w:r>
      <w:r>
        <w:rPr>
          <w:sz w:val="21"/>
          <w:color w:val="000000"/>
        </w:rPr>
        <w:t>．清退规则</w:t>
      </w:r>
    </w:p>
    <w:p>
      <w:pPr>
        <w:pStyle w:val="null3"/>
        <w:ind w:firstLine="420"/>
        <w:jc w:val="left"/>
      </w:pPr>
      <w:r>
        <w:rPr>
          <w:sz w:val="21"/>
          <w:color w:val="000000"/>
        </w:rPr>
        <w:t>服务期内，乙方出现下列情况，所涉及项目未支付的委托费用不再支付、已委托尚未开展的新项目解除委托、即时取消本项目服务资格；若发生经济损失或涉及法律纠纷，委托人将依法追究相关单位及人员的经济和法律责任：</w:t>
      </w:r>
    </w:p>
    <w:p>
      <w:pPr>
        <w:pStyle w:val="null3"/>
        <w:jc w:val="left"/>
      </w:pPr>
      <w:r>
        <w:rPr>
          <w:sz w:val="21"/>
          <w:color w:val="000000"/>
        </w:rPr>
        <w:t>(1)</w:t>
      </w:r>
      <w:r>
        <w:rPr>
          <w:sz w:val="21"/>
          <w:color w:val="000000"/>
        </w:rPr>
        <w:t>无正当理由逾期</w:t>
      </w:r>
      <w:r>
        <w:rPr>
          <w:sz w:val="21"/>
          <w:color w:val="000000"/>
        </w:rPr>
        <w:t>10</w:t>
      </w:r>
      <w:r>
        <w:rPr>
          <w:sz w:val="21"/>
          <w:color w:val="000000"/>
        </w:rPr>
        <w:t xml:space="preserve">个工作日以上不能按评审任务通知书及技术交底提交造价成果的。  </w:t>
      </w:r>
    </w:p>
    <w:p>
      <w:pPr>
        <w:pStyle w:val="null3"/>
        <w:jc w:val="left"/>
      </w:pPr>
      <w:r>
        <w:rPr>
          <w:sz w:val="21"/>
          <w:color w:val="000000"/>
        </w:rPr>
        <w:t>(2)</w:t>
      </w:r>
      <w:r>
        <w:rPr>
          <w:sz w:val="21"/>
          <w:color w:val="000000"/>
        </w:rPr>
        <w:t>乙方及审核人员工作出现重大过失，引起诉讼或纠纷，给评审工作造成损失或严重后果的。</w:t>
      </w:r>
    </w:p>
    <w:p>
      <w:pPr>
        <w:pStyle w:val="null3"/>
        <w:jc w:val="left"/>
      </w:pPr>
      <w:r>
        <w:rPr>
          <w:sz w:val="21"/>
          <w:color w:val="000000"/>
        </w:rPr>
        <w:t>(3)</w:t>
      </w:r>
      <w:r>
        <w:rPr>
          <w:sz w:val="21"/>
          <w:color w:val="000000"/>
        </w:rPr>
        <w:t>违反诚信及廉政建设要求的：乙方及其相关人员有徇私舞弊；违反国家、省及财政部门有关保密规定，泄露评审时知悉的国家机密和商业秘密；未经业务委托的相关部门同意，向项目以外的其他单位或个人披露评审项目的有关信息，对外提供、泄露或公开评审有关情况；与建设、施工、设计、监理、其他中介咨询单位等串通，违反诚实信用和投标承诺，谋取非法利益或损害政府利益的。</w:t>
      </w:r>
    </w:p>
    <w:p>
      <w:pPr>
        <w:pStyle w:val="null3"/>
        <w:jc w:val="left"/>
      </w:pPr>
      <w:r>
        <w:rPr>
          <w:sz w:val="21"/>
          <w:color w:val="000000"/>
        </w:rPr>
        <w:t>(4)</w:t>
      </w:r>
      <w:r>
        <w:rPr>
          <w:sz w:val="21"/>
          <w:color w:val="000000"/>
        </w:rPr>
        <w:t>在委托业务审核过程中，与委托项目有利害关系应回避而未回避的。</w:t>
      </w:r>
    </w:p>
    <w:p>
      <w:pPr>
        <w:pStyle w:val="null3"/>
        <w:jc w:val="left"/>
      </w:pPr>
      <w:r>
        <w:rPr>
          <w:sz w:val="21"/>
          <w:color w:val="000000"/>
        </w:rPr>
        <w:t>(5)</w:t>
      </w:r>
      <w:r>
        <w:rPr>
          <w:sz w:val="21"/>
          <w:color w:val="000000"/>
        </w:rPr>
        <w:t>服务期内，非应回避的原因拒绝接受委托任务达到二次的。</w:t>
      </w:r>
    </w:p>
    <w:p>
      <w:pPr>
        <w:pStyle w:val="null3"/>
        <w:jc w:val="left"/>
      </w:pPr>
      <w:r>
        <w:rPr>
          <w:sz w:val="21"/>
          <w:color w:val="000000"/>
        </w:rPr>
        <w:t>(6)</w:t>
      </w:r>
      <w:r>
        <w:rPr>
          <w:sz w:val="21"/>
          <w:color w:val="000000"/>
        </w:rPr>
        <w:t>违反投标文件中关于到现场服务时间的承诺达到二次的。</w:t>
      </w:r>
    </w:p>
    <w:p>
      <w:pPr>
        <w:pStyle w:val="null3"/>
        <w:jc w:val="left"/>
      </w:pPr>
      <w:r>
        <w:rPr>
          <w:sz w:val="21"/>
          <w:color w:val="000000"/>
        </w:rPr>
        <w:t>(7)</w:t>
      </w:r>
      <w:r>
        <w:rPr>
          <w:sz w:val="21"/>
          <w:color w:val="000000"/>
        </w:rPr>
        <w:t>将委托的评审业务转让给第三方实施的。</w:t>
      </w:r>
    </w:p>
    <w:p>
      <w:pPr>
        <w:pStyle w:val="null3"/>
        <w:jc w:val="left"/>
      </w:pPr>
      <w:r>
        <w:rPr>
          <w:sz w:val="21"/>
          <w:color w:val="000000"/>
        </w:rPr>
        <w:t>(8)</w:t>
      </w:r>
      <w:r>
        <w:rPr>
          <w:sz w:val="21"/>
          <w:color w:val="000000"/>
        </w:rPr>
        <w:t>拒绝接受甲方监督检查和管理的。</w:t>
      </w:r>
    </w:p>
    <w:p>
      <w:pPr>
        <w:pStyle w:val="null3"/>
        <w:jc w:val="left"/>
      </w:pPr>
      <w:r>
        <w:rPr>
          <w:sz w:val="21"/>
          <w:color w:val="000000"/>
        </w:rPr>
        <w:t>(9)</w:t>
      </w:r>
      <w:r>
        <w:rPr>
          <w:sz w:val="21"/>
          <w:color w:val="000000"/>
        </w:rPr>
        <w:t>清查中发现人员配备情况与中标承诺不符，在委托人规定时限内未完成整改的。</w:t>
      </w:r>
    </w:p>
    <w:p>
      <w:pPr>
        <w:pStyle w:val="null3"/>
        <w:jc w:val="left"/>
      </w:pPr>
      <w:r>
        <w:rPr>
          <w:sz w:val="21"/>
          <w:color w:val="000000"/>
        </w:rPr>
        <w:t>(10)</w:t>
      </w:r>
      <w:r>
        <w:rPr>
          <w:sz w:val="21"/>
          <w:color w:val="000000"/>
        </w:rPr>
        <w:t>出现信用危机、财务危机、生产经营危机，甚至破产无法继续履行合同的。</w:t>
      </w:r>
    </w:p>
    <w:p>
      <w:pPr>
        <w:pStyle w:val="null3"/>
        <w:jc w:val="left"/>
      </w:pPr>
      <w:r>
        <w:rPr>
          <w:sz w:val="21"/>
        </w:rPr>
        <w:t>10.</w:t>
      </w:r>
      <w:r>
        <w:rPr>
          <w:sz w:val="21"/>
          <w:color w:val="000000"/>
        </w:rPr>
        <w:t>其他违约责任按《中华人民共和国民法典》处理。</w:t>
      </w:r>
    </w:p>
    <w:p>
      <w:pPr>
        <w:pStyle w:val="null3"/>
        <w:jc w:val="both"/>
      </w:pPr>
      <w:r>
        <w:rPr>
          <w:sz w:val="21"/>
          <w:b/>
        </w:rPr>
        <w:t>十、提出异议的时间和方法：</w:t>
      </w:r>
    </w:p>
    <w:p>
      <w:pPr>
        <w:pStyle w:val="null3"/>
        <w:jc w:val="left"/>
      </w:pPr>
      <w:r>
        <w:rPr>
          <w:sz w:val="21"/>
          <w:color w:val="000000"/>
        </w:rPr>
        <w:t>1.</w:t>
      </w:r>
      <w:r>
        <w:rPr>
          <w:sz w:val="21"/>
          <w:color w:val="000000"/>
        </w:rPr>
        <w:t>甲方有异议时，应</w:t>
      </w:r>
      <w:r>
        <w:rPr>
          <w:sz w:val="21"/>
          <w:color w:val="000000"/>
        </w:rPr>
        <w:t>7</w:t>
      </w:r>
      <w:r>
        <w:rPr>
          <w:sz w:val="21"/>
          <w:color w:val="000000"/>
        </w:rPr>
        <w:t>天内向乙方提出书面异议。</w:t>
      </w:r>
    </w:p>
    <w:p>
      <w:pPr>
        <w:pStyle w:val="null3"/>
        <w:jc w:val="left"/>
      </w:pPr>
      <w:r>
        <w:rPr>
          <w:sz w:val="21"/>
          <w:color w:val="000000"/>
        </w:rPr>
        <w:t>2.</w:t>
      </w:r>
      <w:r>
        <w:rPr>
          <w:sz w:val="21"/>
          <w:color w:val="000000"/>
        </w:rPr>
        <w:t>乙方在接到甲方书面异议后，应在</w:t>
      </w:r>
      <w:r>
        <w:rPr>
          <w:sz w:val="21"/>
          <w:color w:val="000000"/>
        </w:rPr>
        <w:t>3</w:t>
      </w:r>
      <w:r>
        <w:rPr>
          <w:sz w:val="21"/>
          <w:color w:val="000000"/>
        </w:rPr>
        <w:t>天内负责处理并函复甲方处理情况，否则，即视为默认甲方提出的异议和处理意见。</w:t>
      </w:r>
    </w:p>
    <w:p>
      <w:pPr>
        <w:pStyle w:val="null3"/>
        <w:jc w:val="left"/>
      </w:pPr>
      <w:r>
        <w:rPr>
          <w:sz w:val="21"/>
          <w:color w:val="000000"/>
        </w:rPr>
        <w:t>3.</w:t>
      </w:r>
      <w:r>
        <w:rPr>
          <w:sz w:val="21"/>
          <w:color w:val="000000"/>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jc w:val="both"/>
      </w:pPr>
      <w:r>
        <w:rPr>
          <w:sz w:val="21"/>
          <w:b/>
        </w:rPr>
        <w:t>十一、争议的解决：</w:t>
      </w:r>
    </w:p>
    <w:p>
      <w:pPr>
        <w:pStyle w:val="null3"/>
        <w:ind w:firstLine="420"/>
        <w:jc w:val="left"/>
      </w:pPr>
      <w:r>
        <w:rPr>
          <w:sz w:val="21"/>
          <w:color w:val="000000"/>
        </w:rPr>
        <w:t>1.</w:t>
      </w:r>
      <w:r>
        <w:rPr>
          <w:sz w:val="21"/>
          <w:color w:val="000000"/>
        </w:rPr>
        <w:t>合同履行过程中发生的任何争议，如双方未能通过友好协商解决，应向佛山市有管辖权的人民法院提起诉讼。</w:t>
      </w:r>
    </w:p>
    <w:p>
      <w:pPr>
        <w:pStyle w:val="null3"/>
        <w:ind w:firstLine="420"/>
        <w:jc w:val="left"/>
      </w:pPr>
      <w:r>
        <w:rPr>
          <w:sz w:val="21"/>
          <w:color w:val="000000"/>
        </w:rPr>
        <w:t>2.</w:t>
      </w:r>
      <w:r>
        <w:rPr>
          <w:sz w:val="21"/>
          <w:color w:val="000000"/>
        </w:rPr>
        <w:t>法院审理期间，除提交法院审理的事项外，其他无争议的事项和条款仍应继续履行。</w:t>
      </w:r>
    </w:p>
    <w:p>
      <w:pPr>
        <w:pStyle w:val="null3"/>
        <w:jc w:val="both"/>
      </w:pPr>
      <w:r>
        <w:rPr>
          <w:sz w:val="21"/>
          <w:b/>
        </w:rPr>
        <w:t>十二、不可抗力：</w:t>
      </w:r>
    </w:p>
    <w:p>
      <w:pPr>
        <w:pStyle w:val="null3"/>
        <w:ind w:firstLine="420"/>
        <w:jc w:val="both"/>
      </w:pPr>
      <w:r>
        <w:rPr>
          <w:sz w:val="21"/>
        </w:rPr>
        <w:t>任何一方由于不可抗力原因不能履行合同时，应在不可抗力事件结束后</w:t>
      </w:r>
      <w:r>
        <w:rPr>
          <w:sz w:val="21"/>
        </w:rPr>
        <w:t>48</w:t>
      </w:r>
      <w:r>
        <w:rPr>
          <w:sz w:val="21"/>
        </w:rPr>
        <w:t>小时内向对方通报，以减轻可能给对方造成的损失，在取得有关机构的不可抗力证明或双方谅解确认后，允许延期履行或修订合同，并根据情况可部分或全部免于承担违约责任。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十三、税费：</w:t>
      </w:r>
    </w:p>
    <w:p>
      <w:pPr>
        <w:pStyle w:val="null3"/>
        <w:jc w:val="both"/>
      </w:pPr>
      <w:r>
        <w:rPr>
          <w:sz w:val="21"/>
        </w:rPr>
        <w:t>1.</w:t>
      </w:r>
      <w:r>
        <w:rPr>
          <w:sz w:val="21"/>
        </w:rPr>
        <w:t>本合同实施过程中所发生的一切税费及不可预见费均由乙方承担。</w:t>
      </w:r>
    </w:p>
    <w:p>
      <w:pPr>
        <w:pStyle w:val="null3"/>
        <w:jc w:val="both"/>
      </w:pPr>
      <w:r>
        <w:rPr>
          <w:sz w:val="21"/>
        </w:rPr>
        <w:t>2.</w:t>
      </w:r>
      <w:r>
        <w:rPr>
          <w:sz w:val="21"/>
        </w:rPr>
        <w:t>乙方依照税务规章优先在合同履约地开具发票及纳税，咨询：</w:t>
      </w:r>
      <w:r>
        <w:rPr>
          <w:sz w:val="21"/>
        </w:rPr>
        <w:t>0757-12366</w:t>
      </w:r>
      <w:r>
        <w:rPr>
          <w:sz w:val="21"/>
        </w:rPr>
        <w:t>。</w:t>
      </w:r>
    </w:p>
    <w:p>
      <w:pPr>
        <w:pStyle w:val="null3"/>
        <w:jc w:val="both"/>
      </w:pPr>
      <w:r>
        <w:rPr>
          <w:sz w:val="21"/>
          <w:b/>
        </w:rPr>
        <w:t>十四、合同生效与合同备案：</w:t>
      </w:r>
    </w:p>
    <w:p>
      <w:pPr>
        <w:pStyle w:val="null3"/>
        <w:jc w:val="both"/>
      </w:pPr>
      <w:r>
        <w:rPr>
          <w:sz w:val="21"/>
        </w:rPr>
        <w:t>1.</w:t>
      </w:r>
      <w:r>
        <w:rPr>
          <w:sz w:val="21"/>
        </w:rPr>
        <w:t>本合同在甲乙双方法定代表人或其授权代表签字盖章后生效。</w:t>
      </w:r>
    </w:p>
    <w:p>
      <w:pPr>
        <w:pStyle w:val="null3"/>
        <w:jc w:val="both"/>
      </w:pPr>
      <w:r>
        <w:rPr>
          <w:sz w:val="21"/>
        </w:rPr>
        <w:t>2.</w:t>
      </w:r>
      <w:r>
        <w:rPr>
          <w:sz w:val="21"/>
        </w:rPr>
        <w:t>自采购合同签订之日起</w:t>
      </w:r>
      <w:r>
        <w:rPr>
          <w:sz w:val="21"/>
        </w:rPr>
        <w:t>7</w:t>
      </w:r>
      <w:r>
        <w:rPr>
          <w:sz w:val="21"/>
        </w:rPr>
        <w:t>个工作日内，由甲方按照有关规定将采购合同副本报同级人民政府财政部门（政府采购管理部门）备案。</w:t>
      </w:r>
    </w:p>
    <w:p>
      <w:pPr>
        <w:pStyle w:val="null3"/>
        <w:jc w:val="both"/>
      </w:pPr>
      <w:r>
        <w:rPr>
          <w:sz w:val="21"/>
          <w:b/>
        </w:rPr>
        <w:t>十五、乙方应提供的资料内容：</w:t>
      </w:r>
    </w:p>
    <w:p>
      <w:pPr>
        <w:pStyle w:val="null3"/>
        <w:jc w:val="both"/>
      </w:pPr>
      <w:r>
        <w:rPr>
          <w:sz w:val="21"/>
          <w:u w:val="single"/>
        </w:rPr>
        <w:t xml:space="preserve">                                                            </w:t>
      </w:r>
      <w:r>
        <w:rPr>
          <w:sz w:val="21"/>
        </w:rPr>
        <w:t>。</w:t>
      </w:r>
    </w:p>
    <w:p>
      <w:pPr>
        <w:pStyle w:val="null3"/>
        <w:jc w:val="both"/>
      </w:pPr>
      <w:r>
        <w:rPr>
          <w:sz w:val="21"/>
          <w:b/>
        </w:rPr>
        <w:t>十六、关于政府采购合同融资</w:t>
      </w:r>
    </w:p>
    <w:p>
      <w:pPr>
        <w:pStyle w:val="null3"/>
        <w:jc w:val="both"/>
      </w:pPr>
      <w:r>
        <w:rPr>
          <w:sz w:val="21"/>
        </w:rPr>
        <w:t>1.</w:t>
      </w:r>
      <w:r>
        <w:rPr>
          <w:sz w:val="21"/>
        </w:rPr>
        <w:t>乙方是否已申请政府采购合同融资：</w:t>
      </w:r>
      <w:r>
        <w:rPr>
          <w:sz w:val="21"/>
          <w:u w:val="single"/>
        </w:rPr>
        <w:t xml:space="preserve">  </w:t>
      </w:r>
      <w:r>
        <w:rPr>
          <w:sz w:val="21"/>
          <w:u w:val="single"/>
        </w:rPr>
        <w:t>是</w:t>
      </w:r>
      <w:r>
        <w:rPr>
          <w:sz w:val="21"/>
          <w:u w:val="single"/>
        </w:rPr>
        <w:t xml:space="preserve">/ </w:t>
      </w:r>
      <w:r>
        <w:rPr>
          <w:sz w:val="21"/>
          <w:u w:val="single"/>
        </w:rPr>
        <w:t xml:space="preserve">否  </w:t>
      </w:r>
      <w:r>
        <w:rPr>
          <w:sz w:val="21"/>
        </w:rPr>
        <w:t>；</w:t>
      </w:r>
    </w:p>
    <w:p>
      <w:pPr>
        <w:pStyle w:val="null3"/>
        <w:jc w:val="both"/>
      </w:pPr>
      <w:r>
        <w:rPr>
          <w:sz w:val="21"/>
        </w:rPr>
        <w:t>2.</w:t>
      </w:r>
      <w:r>
        <w:rPr>
          <w:sz w:val="21"/>
        </w:rPr>
        <w:t>融资银行及联系方式：</w:t>
      </w:r>
      <w:r>
        <w:rPr>
          <w:sz w:val="21"/>
          <w:u w:val="single"/>
        </w:rPr>
        <w:t xml:space="preserve">                                                </w:t>
      </w:r>
      <w:r>
        <w:rPr>
          <w:sz w:val="21"/>
        </w:rPr>
        <w:t>。</w:t>
      </w:r>
    </w:p>
    <w:p>
      <w:pPr>
        <w:pStyle w:val="null3"/>
        <w:jc w:val="both"/>
      </w:pPr>
      <w:r>
        <w:rPr>
          <w:sz w:val="21"/>
        </w:rPr>
        <w:t>3.</w:t>
      </w:r>
      <w:r>
        <w:rPr>
          <w:sz w:val="21"/>
        </w:rPr>
        <w:t>若乙方已申请政府采购合同融资，其在本合同中登记的银行账号应与金融机构签订融资协议中约定的融资回款账户一致，此账户作为政府采购融资合同资金回款的唯一账户，未获得融资银行同意，乙方不得随意变更</w:t>
      </w:r>
      <w:r>
        <w:rPr>
          <w:sz w:val="21"/>
          <w:b/>
        </w:rPr>
        <w:t>。</w:t>
      </w:r>
    </w:p>
    <w:p>
      <w:pPr>
        <w:pStyle w:val="null3"/>
        <w:jc w:val="both"/>
      </w:pPr>
      <w:r>
        <w:rPr>
          <w:sz w:val="21"/>
          <w:b/>
        </w:rPr>
        <w:t>十七、其他：</w:t>
      </w:r>
    </w:p>
    <w:p>
      <w:pPr>
        <w:pStyle w:val="null3"/>
        <w:jc w:val="both"/>
      </w:pPr>
      <w:r>
        <w:rPr>
          <w:sz w:val="21"/>
        </w:rPr>
        <w:t>1.</w:t>
      </w:r>
      <w:r>
        <w:rPr>
          <w:sz w:val="21"/>
        </w:rPr>
        <w:t>所有经一方或双方签署确认的文件（包括会议纪要、补充协议、往来信函）、招标文件、要约文件和响应承诺文件、合同附件及中标（成交）通知书均为本合同不可分割的有效组成部分，与本合同具有同等的法律效力和履约义务，其缔约生效日期为有效签署或盖章确认之日起。</w:t>
      </w:r>
    </w:p>
    <w:p>
      <w:pPr>
        <w:pStyle w:val="null3"/>
        <w:jc w:val="both"/>
      </w:pPr>
      <w:r>
        <w:rPr>
          <w:sz w:val="21"/>
        </w:rPr>
        <w:t>2.</w:t>
      </w:r>
      <w:r>
        <w:rPr>
          <w:sz w:val="21"/>
        </w:rPr>
        <w:t>如一方（包括联系人）地址、电话、传真号码有变更，应在变更后</w:t>
      </w:r>
      <w:r>
        <w:rPr>
          <w:sz w:val="21"/>
        </w:rPr>
        <w:t>3</w:t>
      </w:r>
      <w:r>
        <w:rPr>
          <w:sz w:val="21"/>
        </w:rPr>
        <w:t>个工作日内书面通知对方联系人或负责人，否则，因此造成的损失由未履行通知义务方承担相应责任。</w:t>
      </w:r>
    </w:p>
    <w:p>
      <w:pPr>
        <w:pStyle w:val="null3"/>
        <w:jc w:val="both"/>
      </w:pPr>
      <w:r>
        <w:rPr>
          <w:sz w:val="21"/>
        </w:rPr>
        <w:t>3.</w:t>
      </w:r>
      <w:r>
        <w:rPr>
          <w:sz w:val="21"/>
        </w:rPr>
        <w:t>未经甲方书面同意，乙方不得擅自向第三方转让其主体性和关键性合同义务。</w:t>
      </w:r>
    </w:p>
    <w:p>
      <w:pPr>
        <w:pStyle w:val="null3"/>
        <w:jc w:val="both"/>
      </w:pPr>
      <w:r>
        <w:rPr>
          <w:sz w:val="21"/>
        </w:rPr>
        <w:t>4.</w:t>
      </w:r>
      <w:r>
        <w:rPr>
          <w:sz w:val="21"/>
        </w:rPr>
        <w:t>本合同一式</w:t>
      </w:r>
      <w:r>
        <w:rPr>
          <w:sz w:val="21"/>
          <w:u w:val="single"/>
        </w:rPr>
        <w:t xml:space="preserve">    </w:t>
      </w:r>
      <w:r>
        <w:rPr>
          <w:sz w:val="21"/>
        </w:rPr>
        <w:t>份，甲方执</w:t>
      </w:r>
      <w:r>
        <w:rPr>
          <w:sz w:val="21"/>
          <w:u w:val="single"/>
        </w:rPr>
        <w:t xml:space="preserve">   </w:t>
      </w:r>
      <w:r>
        <w:rPr>
          <w:sz w:val="21"/>
        </w:rPr>
        <w:t>份，乙方执</w:t>
      </w:r>
      <w:r>
        <w:rPr>
          <w:sz w:val="21"/>
          <w:u w:val="single"/>
        </w:rPr>
        <w:t xml:space="preserve">   </w:t>
      </w:r>
      <w:r>
        <w:rPr>
          <w:sz w:val="21"/>
        </w:rPr>
        <w:t>份。</w:t>
      </w:r>
    </w:p>
    <w:p>
      <w:pPr>
        <w:pStyle w:val="null3"/>
        <w:jc w:val="both"/>
      </w:pPr>
      <w:r>
        <w:rPr>
          <w:sz w:val="21"/>
        </w:rPr>
        <w:t>5.</w:t>
      </w:r>
      <w:r>
        <w:rPr>
          <w:sz w:val="21"/>
        </w:rPr>
        <w:t>本合同（含附件）共计</w:t>
      </w:r>
      <w:r>
        <w:rPr>
          <w:sz w:val="21"/>
          <w:u w:val="single"/>
        </w:rPr>
        <w:t xml:space="preserve">    </w:t>
      </w:r>
      <w:r>
        <w:rPr>
          <w:sz w:val="21"/>
        </w:rPr>
        <w:t>页，缺页之合同为无效合同。</w:t>
      </w:r>
    </w:p>
    <w:p>
      <w:pPr>
        <w:pStyle w:val="null3"/>
        <w:jc w:val="both"/>
      </w:pPr>
      <w:r>
        <w:rPr>
          <w:sz w:val="21"/>
        </w:rPr>
        <w:t>6.</w:t>
      </w:r>
      <w:r>
        <w:rPr>
          <w:sz w:val="21"/>
        </w:rPr>
        <w:t>本合同签约履约地点：广东省佛山市。</w:t>
      </w:r>
    </w:p>
    <w:p>
      <w:pPr>
        <w:pStyle w:val="null3"/>
        <w:jc w:val="both"/>
      </w:pPr>
      <w:r>
        <w:rPr>
          <w:sz w:val="21"/>
        </w:rPr>
        <w:t>7.</w:t>
      </w:r>
      <w:r>
        <w:rPr>
          <w:sz w:val="21"/>
        </w:rPr>
        <w:t>本合同所指</w:t>
      </w:r>
      <w:r>
        <w:rPr>
          <w:sz w:val="21"/>
        </w:rPr>
        <w:t>“</w:t>
      </w:r>
      <w:r>
        <w:rPr>
          <w:sz w:val="21"/>
        </w:rPr>
        <w:t>书面通知</w:t>
      </w:r>
      <w:r>
        <w:rPr>
          <w:sz w:val="21"/>
        </w:rPr>
        <w:t>”</w:t>
      </w:r>
      <w:r>
        <w:rPr>
          <w:sz w:val="21"/>
        </w:rPr>
        <w:t>包括但不限于短信、电子邮件等数据电文的通知形式，到达时间以民事诉讼法的规定为准，但进行书面通知前后，通知方均有义务电话确认通知事项。</w:t>
      </w:r>
    </w:p>
    <w:p>
      <w:pPr>
        <w:pStyle w:val="null3"/>
        <w:jc w:val="both"/>
      </w:pPr>
      <w:r>
        <w:rPr>
          <w:sz w:val="21"/>
        </w:rPr>
        <w:t>8.</w:t>
      </w:r>
      <w:r>
        <w:rPr>
          <w:sz w:val="21"/>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28"/>
        <w:gridCol w:w="3942"/>
        <w:gridCol w:w="135"/>
      </w:tblGrid>
      <w:tr>
        <w:tc>
          <w:tcPr>
            <w:tcW w:type="dxa" w:w="4228"/>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jc w:val="both"/>
            </w:pPr>
            <w:r>
              <w:rPr>
                <w:sz w:val="21"/>
                <w:b/>
              </w:rPr>
              <w:t>甲方（盖章）：</w:t>
            </w:r>
          </w:p>
          <w:p>
            <w:pPr>
              <w:pStyle w:val="null3"/>
              <w:jc w:val="both"/>
            </w:pPr>
            <w:r>
              <w:rPr>
                <w:sz w:val="21"/>
              </w:rPr>
              <w:t>代表：</w:t>
            </w:r>
            <w:r>
              <w:rPr>
                <w:sz w:val="21"/>
                <w:u w:val="single"/>
              </w:rPr>
              <w:t xml:space="preserve">                              </w:t>
            </w:r>
            <w:r>
              <w:rPr>
                <w:sz w:val="21"/>
              </w:rPr>
              <w:t xml:space="preserve"> </w:t>
            </w:r>
          </w:p>
          <w:p>
            <w:pPr>
              <w:pStyle w:val="null3"/>
              <w:jc w:val="both"/>
            </w:pPr>
            <w:r>
              <w:rPr>
                <w:sz w:val="21"/>
              </w:rPr>
              <w:t>地址：</w:t>
            </w:r>
          </w:p>
          <w:p>
            <w:pPr>
              <w:pStyle w:val="null3"/>
              <w:jc w:val="both"/>
            </w:pPr>
            <w:r>
              <w:rPr>
                <w:sz w:val="21"/>
              </w:rPr>
              <w:t>电话：</w:t>
            </w:r>
          </w:p>
          <w:p>
            <w:pPr>
              <w:pStyle w:val="null3"/>
              <w:jc w:val="both"/>
            </w:pPr>
            <w:r>
              <w:rPr>
                <w:sz w:val="21"/>
              </w:rPr>
              <w:t>传真：</w:t>
            </w:r>
          </w:p>
          <w:p>
            <w:pPr>
              <w:pStyle w:val="null3"/>
              <w:jc w:val="both"/>
            </w:pPr>
            <w:r>
              <w:rPr>
                <w:sz w:val="21"/>
              </w:rPr>
              <w:t>日期：</w:t>
            </w:r>
            <w:r>
              <w:rPr>
                <w:sz w:val="21"/>
              </w:rPr>
              <w:t xml:space="preserve">        </w:t>
            </w:r>
            <w:r>
              <w:rPr>
                <w:sz w:val="21"/>
              </w:rPr>
              <w:t>年</w:t>
            </w:r>
            <w:r>
              <w:rPr>
                <w:sz w:val="21"/>
              </w:rPr>
              <w:t xml:space="preserve">  </w:t>
            </w:r>
            <w:r>
              <w:rPr>
                <w:sz w:val="21"/>
              </w:rPr>
              <w:t>月</w:t>
            </w:r>
            <w:r>
              <w:rPr>
                <w:sz w:val="21"/>
              </w:rPr>
              <w:t>日</w:t>
            </w:r>
          </w:p>
        </w:tc>
        <w:tc>
          <w:tcPr>
            <w:tcW w:type="dxa" w:w="39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乙方（盖章）：</w:t>
            </w:r>
          </w:p>
          <w:p>
            <w:pPr>
              <w:pStyle w:val="null3"/>
              <w:jc w:val="both"/>
            </w:pPr>
            <w:r>
              <w:rPr>
                <w:sz w:val="21"/>
              </w:rPr>
              <w:t>代表：</w:t>
            </w:r>
            <w:r>
              <w:rPr>
                <w:sz w:val="21"/>
                <w:u w:val="single"/>
              </w:rPr>
              <w:t xml:space="preserve">                           </w:t>
            </w:r>
          </w:p>
          <w:p>
            <w:pPr>
              <w:pStyle w:val="null3"/>
              <w:jc w:val="both"/>
            </w:pPr>
            <w:r>
              <w:rPr>
                <w:sz w:val="21"/>
              </w:rPr>
              <w:t>地址：</w:t>
            </w:r>
          </w:p>
          <w:p>
            <w:pPr>
              <w:pStyle w:val="null3"/>
              <w:jc w:val="both"/>
            </w:pPr>
            <w:r>
              <w:rPr>
                <w:sz w:val="21"/>
              </w:rPr>
              <w:t>电话：</w:t>
            </w:r>
          </w:p>
          <w:p>
            <w:pPr>
              <w:pStyle w:val="null3"/>
              <w:jc w:val="both"/>
            </w:pPr>
            <w:r>
              <w:rPr>
                <w:sz w:val="21"/>
              </w:rPr>
              <w:t>传真：</w:t>
            </w:r>
          </w:p>
          <w:p>
            <w:pPr>
              <w:pStyle w:val="null3"/>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1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4228"/>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jc w:val="both"/>
            </w:pPr>
          </w:p>
        </w:tc>
        <w:tc>
          <w:tcPr>
            <w:tcW w:type="dxa" w:w="4077"/>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jc w:val="both"/>
            </w:pPr>
            <w:r>
              <w:rPr>
                <w:sz w:val="21"/>
                <w:b/>
              </w:rPr>
              <w:t>收款方、开票方须与乙方一致，专户为：</w:t>
            </w:r>
          </w:p>
          <w:p>
            <w:pPr>
              <w:pStyle w:val="null3"/>
              <w:jc w:val="both"/>
            </w:pPr>
            <w:r>
              <w:rPr>
                <w:sz w:val="21"/>
              </w:rPr>
              <w:t>开户名称：</w:t>
            </w:r>
          </w:p>
          <w:p>
            <w:pPr>
              <w:pStyle w:val="null3"/>
              <w:jc w:val="both"/>
            </w:pPr>
            <w:r>
              <w:rPr>
                <w:sz w:val="21"/>
              </w:rPr>
              <w:t>银行账号：</w:t>
            </w:r>
          </w:p>
          <w:p>
            <w:pPr>
              <w:pStyle w:val="null3"/>
              <w:jc w:val="both"/>
            </w:pPr>
            <w:r>
              <w:rPr>
                <w:sz w:val="21"/>
              </w:rPr>
              <w:t>开户行：</w:t>
            </w: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440606-2024-09541</w:t>
      </w:r>
    </w:p>
    <w:p>
      <w:pPr>
        <w:pStyle w:val="null3"/>
        <w:jc w:val="center"/>
        <w:outlineLvl w:val="3"/>
      </w:pPr>
      <w:r>
        <w:rPr>
          <w:sz w:val="24"/>
          <w:b/>
        </w:rPr>
        <w:t>采购项目编号：</w:t>
      </w:r>
      <w:r>
        <w:rPr>
          <w:sz w:val="24"/>
          <w:b/>
        </w:rPr>
        <w:t>BDGZ2024071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广东必鼎工程项目管理有限公司</w:t>
      </w:r>
    </w:p>
    <w:p>
      <w:pPr>
        <w:pStyle w:val="null3"/>
        <w:ind w:firstLine="480"/>
      </w:pPr>
      <w:r>
        <w:rPr/>
        <w:t xml:space="preserve"> 你方组织的</w:t>
      </w:r>
      <w:r>
        <w:rPr>
          <w:u w:val="single"/>
        </w:rPr>
        <w:t>“</w:t>
      </w:r>
      <w:r>
        <w:rPr>
          <w:u w:val="single"/>
        </w:rPr>
        <w:t>2025-2026年杏坛镇工程造价评审服务项目</w:t>
      </w:r>
      <w:r>
        <w:rPr>
          <w:u w:val="single"/>
        </w:rPr>
        <w:t>”</w:t>
      </w:r>
      <w:r>
        <w:rPr/>
        <w:t>项目的招标[采购项目编号为：</w:t>
      </w:r>
      <w:r>
        <w:rPr>
          <w:u w:val="single"/>
        </w:rPr>
        <w:t>BDGZ2024071</w:t>
      </w:r>
      <w:r>
        <w:rPr/>
        <w:t>]，我方愿参与投标。</w:t>
      </w:r>
    </w:p>
    <w:p>
      <w:pPr>
        <w:pStyle w:val="null3"/>
        <w:ind w:firstLine="480"/>
      </w:pPr>
      <w:r>
        <w:rPr/>
        <w:t>我方确认收到贵方提供的</w:t>
      </w:r>
      <w:r>
        <w:rPr>
          <w:u w:val="single"/>
        </w:rPr>
        <w:t>“</w:t>
      </w:r>
      <w:r>
        <w:rPr>
          <w:u w:val="single"/>
        </w:rPr>
        <w:t>2025-2026年杏坛镇工程造价评审服务项目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广东必鼎工程项目管理有限公司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2025-2026年杏坛镇工程造价评审服务项目</w:t>
      </w:r>
      <w:r>
        <w:rPr/>
        <w:t>”项目采购[采购项目编号为</w:t>
      </w:r>
      <w:r>
        <w:rPr/>
        <w:t>BDGZ2024071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佛山市顺德区杏坛镇财政和公有资产管理办公室</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广东必鼎工程项目管理有限公司</w:t>
      </w:r>
    </w:p>
    <w:p>
      <w:pPr>
        <w:pStyle w:val="null3"/>
        <w:ind w:firstLine="480"/>
      </w:pPr>
      <w:r>
        <w:rPr/>
        <w:t xml:space="preserve"> 如果我方在贵采购代理机构组织的</w:t>
      </w:r>
      <w:r>
        <w:rPr/>
        <w:t>2025-2026年杏坛镇工程造价评审服务项目</w:t>
      </w:r>
      <w:r>
        <w:rPr/>
        <w:t>招标中获中标（采购项目编号：</w:t>
      </w:r>
      <w:r>
        <w:rPr/>
        <w:t>BDGZ2024071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广东必鼎工程项目管理有限公司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广东必鼎工程项目管理有限公司</w:t>
      </w:r>
    </w:p>
    <w:p>
      <w:pPr>
        <w:pStyle w:val="null3"/>
        <w:ind w:firstLine="480"/>
      </w:pPr>
      <w:r>
        <w:rPr/>
        <w:t>我单位已登记并准备参与“</w:t>
      </w:r>
      <w:r>
        <w:rPr/>
        <w:t>2025-2026年杏坛镇工程造价评审服务项目</w:t>
      </w:r>
      <w:r>
        <w:rPr/>
        <w:t>”项目（采购项目编号：</w:t>
      </w:r>
      <w:r>
        <w:rPr/>
        <w:t>BDGZ2024071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