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440606-2024-00572</w:t>
      </w:r>
    </w:p>
    <w:p>
      <w:pPr>
        <w:jc w:val="center"/>
      </w:pPr>
      <w:r>
        <w:rPr>
          <w:b/>
          <w:sz w:val="24"/>
        </w:rPr>
        <w:t>采购项目编号：</w:t>
      </w:r>
      <w:r>
        <w:rPr>
          <w:b/>
          <w:sz w:val="24"/>
        </w:rPr>
        <w:t>BDGZ2024005</w:t>
      </w:r>
    </w:p>
    <w:p>
      <w:pPr>
        <w:jc w:val="center"/>
      </w:pPr>
      <w:r>
        <w:rPr>
          <w:b/>
          <w:sz w:val="24"/>
        </w:rPr>
        <w:t>项目名称：</w:t>
      </w:r>
      <w:r>
        <w:rPr>
          <w:b/>
          <w:sz w:val="24"/>
        </w:rPr>
        <w:t>顺德区市场监督管理局2024年3月-2025年2月食用农产品快速检测项目</w:t>
      </w:r>
    </w:p>
    <w:p>
      <w:pPr>
        <w:jc w:val="center"/>
      </w:pPr>
      <w:r>
        <w:rPr>
          <w:b/>
          <w:sz w:val="24"/>
        </w:rPr>
        <w:t>采购人：</w:t>
      </w:r>
      <w:r>
        <w:rPr>
          <w:b/>
          <w:sz w:val="24"/>
        </w:rPr>
        <w:t>佛山市顺德区市场监督管理局</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佛山市顺德区市场监督管理局</w:t>
      </w:r>
      <w:r>
        <w:rPr/>
        <w:t>的委托，采用</w:t>
      </w:r>
      <w:r>
        <w:rPr/>
        <w:t>公开招标</w:t>
      </w:r>
      <w:r>
        <w:rPr/>
        <w:t>方式组织采购</w:t>
      </w:r>
      <w:r>
        <w:rPr/>
        <w:t>顺德区市场监督管理局2024年3月-2025年2月食用农产品快速检测项目</w:t>
      </w:r>
      <w:r>
        <w:rPr/>
        <w:t>。欢迎符合资格条件的国内供应商参加投标。</w:t>
      </w:r>
    </w:p>
    <w:p>
      <w:r>
        <w:rPr>
          <w:b/>
          <w:sz w:val="28"/>
        </w:rPr>
        <w:t>一.项目概述</w:t>
      </w:r>
    </w:p>
    <w:p>
      <w:r>
        <w:rPr>
          <w:b/>
          <w:sz w:val="24"/>
        </w:rPr>
        <w:t>1.名称与编号</w:t>
      </w:r>
    </w:p>
    <w:p>
      <w:pPr>
        <w:ind w:firstLine="480"/>
      </w:pPr>
      <w:r>
        <w:rPr/>
        <w:t>项目名称：</w:t>
      </w:r>
      <w:r>
        <w:rPr/>
        <w:t>顺德区市场监督管理局2024年3月-2025年2月食用农产品快速检测项目</w:t>
      </w:r>
    </w:p>
    <w:p>
      <w:pPr>
        <w:ind w:firstLine="480"/>
      </w:pPr>
      <w:r>
        <w:rPr/>
        <w:t>采购计划编号：</w:t>
      </w:r>
      <w:r>
        <w:rPr/>
        <w:t>440606-2024-00572</w:t>
      </w:r>
    </w:p>
    <w:p>
      <w:pPr>
        <w:ind w:firstLine="480"/>
      </w:pPr>
      <w:r>
        <w:rPr/>
        <w:t>采购项目编号：</w:t>
      </w:r>
      <w:r>
        <w:rPr/>
        <w:t>BDGZ2024005</w:t>
      </w:r>
    </w:p>
    <w:p>
      <w:pPr>
        <w:ind w:firstLine="480"/>
      </w:pPr>
      <w:r>
        <w:rPr/>
        <w:t>采购方式：</w:t>
      </w:r>
      <w:r>
        <w:rPr/>
        <w:t>公开招标</w:t>
      </w:r>
    </w:p>
    <w:p>
      <w:pPr>
        <w:ind w:firstLine="480"/>
      </w:pPr>
      <w:r>
        <w:rPr/>
        <w:t>预算金额：</w:t>
      </w:r>
      <w:r>
        <w:rPr/>
        <w:t>4,500,000.00</w:t>
      </w:r>
      <w:r>
        <w:rPr/>
        <w:t>元</w:t>
      </w:r>
    </w:p>
    <w:p>
      <w:r>
        <w:rPr>
          <w:b/>
          <w:sz w:val="24"/>
        </w:rPr>
        <w:t>2.项目内容及需求情况（采购项目技术规格、参数及要求）</w:t>
      </w:r>
    </w:p>
    <w:p>
      <w:pPr>
        <w:ind w:firstLine="480"/>
      </w:pPr>
    </w:p>
    <w:p/>
    <w:p>
      <w:r>
        <w:rPr/>
        <w:t>采购包1(顺德区市场监督管理局2024年3月-2025年2月食用农产品快速检测-包1):</w:t>
      </w:r>
    </w:p>
    <w:p>
      <w:r>
        <w:rPr/>
        <w:t>采购包预算金额：2,489,000.00元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技术测试和分析服务</w:t>
            </w:r>
          </w:p>
        </w:tc>
        <w:tc>
          <w:tcPr>
            <w:tcW w:type="dxa" w:w="2136"/>
          </w:tcPr>
          <w:p>
            <w:r>
              <w:rPr/>
              <w:t>顺德区市场监督管理局2024年3月-2025年2月食用农产品快速检测-包1</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合同履行期限：服务期一年，具体起止时间以合同签订时间为准。</w:t>
      </w:r>
    </w:p>
    <w:p/>
    <w:p>
      <w:r>
        <w:rPr/>
        <w:t>采购包2(顺德区市场监督管理局2024年3月-2025年2月食用农产品快速检测-包2):</w:t>
      </w:r>
    </w:p>
    <w:p>
      <w:r>
        <w:rPr/>
        <w:t>采购包预算金额：2,011,000.00元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技术测试和分析服务</w:t>
            </w:r>
          </w:p>
        </w:tc>
        <w:tc>
          <w:tcPr>
            <w:tcW w:type="dxa" w:w="2136"/>
          </w:tcPr>
          <w:p>
            <w:r>
              <w:rPr/>
              <w:t>顺德区市场监督管理局2024年3月-2025年2月食用农产品快速检测-包2</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合同履行期限：服务期一年，具体起止时间以合同签订时间为准。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具有良好的商业信誉和健全的财务会计制度：财务会计制度情况，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p/>
    <w:p>
      <w:r>
        <w:rPr/>
        <w:t>3）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
      <w:r>
        <w:rPr/>
        <w:t>4）履行合同所必需的设备和专业技术能力：提供具备履行合同所必需的设备和专业技术能力的承诺函，格式自拟。</w:t>
      </w:r>
    </w:p>
    <w:p/>
    <w:p>
      <w:r>
        <w:rPr/>
        <w:t>5）参加采购活动前3年内，在经营活动中没有重大违法记录：须提供下列任一项证明材料：①《政府采购供应商资格信用承诺函》;②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采购包1（顺德区市场监督管理局2024年3月-2025年2月食用农产品快速检测-包1）：</w:t>
      </w:r>
      <w:r>
        <w:rPr/>
        <w:t>本项目不属于专门面向中小企业采购项目。本项目标的按照《中小企业划型标准规定》（工信部联企业[2011]300号）划分行业为：其他未列明行业。</w:t>
      </w:r>
    </w:p>
    <w:p>
      <w:pPr>
        <w:jc w:val="left"/>
      </w:pPr>
    </w:p>
    <w:p>
      <w:r>
        <w:rPr/>
        <w:t>采购包2（顺德区市场监督管理局2024年3月-2025年2月食用农产品快速检测-包2）：</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其他未列明行业）。</w:t>
      </w:r>
    </w:p>
    <w:p/>
    <w:p>
      <w:r>
        <w:rPr>
          <w:b/>
          <w:sz w:val="24"/>
        </w:rPr>
        <w:t>3.本项目特定的资格要求：</w:t>
      </w:r>
    </w:p>
    <w:p>
      <w:pPr>
        <w:ind w:firstLine="480"/>
      </w:pPr>
    </w:p>
    <w:p/>
    <w:p>
      <w:r>
        <w:rPr/>
        <w:t>采购包1（顺德区市场监督管理局2024年3月-2025年2月食用农产品快速检测-包1）：</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3)供应商具有有效的食品检验机构资质认定证书或含有食品检验检测能力的检验检测机构资质认定证书（提供证书扫描件）。</w:t>
      </w:r>
    </w:p>
    <w:p/>
    <w:p>
      <w:r>
        <w:rPr/>
        <w:t>采购包2（顺德区市场监督管理局2024年3月-2025年2月食用农产品快速检测-包2）：</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3)供应商具有有效的食品检验机构资质认定证书或含有食品检验检测能力的检验检测机构资质认定证书（提供证书扫描件）。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广东省公共资源交易平台（https://ygp.gdzwfw.gov.cn/ggzy-portal/#/440600/index）、佛山市顺德区公共资源交易中心（http：//www.shunde.gov.cn/ggzy/）及采购代理机构（http：//www.gdbdzb.com/）</w:t>
      </w:r>
    </w:p>
    <w:p>
      <w:r>
        <w:rPr>
          <w:b/>
          <w:sz w:val="28"/>
        </w:rPr>
        <w:t>六.本项目联系方式：</w:t>
      </w:r>
    </w:p>
    <w:p>
      <w:r>
        <w:rPr>
          <w:b/>
          <w:sz w:val="24"/>
        </w:rPr>
        <w:t>1.采购人信息</w:t>
      </w:r>
    </w:p>
    <w:p>
      <w:pPr>
        <w:ind w:firstLine="480"/>
      </w:pPr>
      <w:r>
        <w:rPr/>
        <w:t>名称：</w:t>
      </w:r>
      <w:r>
        <w:rPr/>
        <w:t>佛山市顺德区市场监督管理局</w:t>
      </w:r>
    </w:p>
    <w:p>
      <w:pPr>
        <w:ind w:firstLine="480"/>
      </w:pPr>
      <w:r>
        <w:rPr/>
        <w:t>地址：</w:t>
      </w:r>
      <w:r>
        <w:rPr/>
        <w:t>佛山市顺德区大良新城区兴顺大道欣荣路西1号</w:t>
      </w:r>
    </w:p>
    <w:p>
      <w:pPr>
        <w:ind w:firstLine="480"/>
      </w:pPr>
      <w:r>
        <w:rPr/>
        <w:t>联系方式：</w:t>
      </w:r>
      <w:r>
        <w:rPr/>
        <w:t>0757-22800040</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佛山市顺德区大良街道逢沙村萃智路1号车创置业广场1栋601房</w:t>
      </w:r>
    </w:p>
    <w:p>
      <w:pPr>
        <w:ind w:firstLine="480"/>
      </w:pPr>
      <w:r>
        <w:rPr/>
        <w:t>联系方式：</w:t>
      </w:r>
      <w:r>
        <w:rPr/>
        <w:t>0757-82593498</w:t>
      </w:r>
    </w:p>
    <w:p>
      <w:r>
        <w:rPr>
          <w:b/>
          <w:sz w:val="24"/>
        </w:rPr>
        <w:t>3.项目联系方式</w:t>
      </w:r>
    </w:p>
    <w:p>
      <w:pPr>
        <w:ind w:firstLine="480"/>
      </w:pPr>
      <w:r>
        <w:rPr/>
        <w:t>项目联系人：</w:t>
      </w:r>
      <w:r>
        <w:rPr/>
        <w:t>何先生</w:t>
      </w:r>
    </w:p>
    <w:p>
      <w:pPr>
        <w:ind w:firstLine="480"/>
      </w:pPr>
      <w:r>
        <w:rPr/>
        <w:t>电话：</w:t>
      </w:r>
      <w:r>
        <w:rPr/>
        <w:t>0757-82593498</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为贯彻落实党的十九大报告提出的实施食品安全战略，中共中央国务院进一步出台了《关于深化改革加强食品安全工作的意见》，对深化改革加强食品安全工作提出了指导意见，加强食品安全监管其重要性不言而喻。</w:t>
      </w:r>
    </w:p>
    <w:p>
      <w:pPr>
        <w:ind w:firstLine="420"/>
        <w:jc w:val="both"/>
      </w:pPr>
      <w:r>
        <w:rPr>
          <w:sz w:val="21"/>
        </w:rPr>
        <w:t>顺德是中国美食之都，大量食品特别是食用农产品的生产、流通与外来输入，为食品安全监管带来了难度与风险。为保障人民群众</w:t>
      </w:r>
      <w:r>
        <w:rPr>
          <w:sz w:val="21"/>
        </w:rPr>
        <w:t>“菜篮子”安全，通过对全区销售食用农产品的农贸市场、商场超市、生鲜店、电商前置仓等开展食用农产品快速检测，及时筛查发现不合格食用农产品，公示快检信息，依法处置不合格食用农产品，充分发挥快检筛查的“防火墙”“过滤网”作用，构建区内食用农产品快检筛查网络，切实提升顺德区市场销售食用农产品质量安全水平，保障人民群众日常消费安全。</w:t>
      </w:r>
    </w:p>
    <w:p>
      <w:pPr>
        <w:ind w:firstLine="420"/>
        <w:jc w:val="both"/>
      </w:pPr>
      <w:r>
        <w:rPr>
          <w:sz w:val="21"/>
        </w:rPr>
        <w:t>按照</w:t>
      </w:r>
      <w:r>
        <w:rPr>
          <w:sz w:val="21"/>
        </w:rPr>
        <w:t>“突出重点、覆盖全面、规范标准、监督落实、追溯责任、数据应用”的工作要求，进一步规范快检工作流程，提升快检工作质量，强化后续跟进处理，督促责任落实，利用大数据分析掌握食用农产品质量安全状况，有效地落实企业主体责任，提升监管工作效能</w:t>
      </w:r>
      <w:r>
        <w:rPr>
          <w:sz w:val="21"/>
        </w:rPr>
        <w:t>，</w:t>
      </w:r>
      <w:r>
        <w:rPr>
          <w:sz w:val="21"/>
        </w:rPr>
        <w:t>降低食品安全风险。根据《中华人民共和国食品安全法》《食用农产品市场销售质量安全监督管理办法》《佛山市创建国家食品安全示范城市工作实施方案》等法律法规及上级文件精神，经顺德区政府同意，佛山市顺德区市场监督管理局于</w:t>
      </w:r>
      <w:r>
        <w:rPr>
          <w:sz w:val="21"/>
        </w:rPr>
        <w:t>2016</w:t>
      </w:r>
      <w:r>
        <w:rPr>
          <w:sz w:val="21"/>
        </w:rPr>
        <w:t>年起启动食用农产品（散装食品）快速检测体系建设工作。</w:t>
      </w:r>
    </w:p>
    <w:p>
      <w:pPr>
        <w:jc w:val="both"/>
      </w:pPr>
      <w:r>
        <w:rPr>
          <w:sz w:val="21"/>
        </w:rPr>
        <w:t>二、内容概况</w:t>
      </w:r>
    </w:p>
    <w:p>
      <w:pPr>
        <w:jc w:val="both"/>
      </w:pPr>
      <w:r>
        <w:rPr>
          <w:sz w:val="21"/>
        </w:rPr>
        <w:t>采购包</w:t>
      </w:r>
      <w:r>
        <w:rPr>
          <w:sz w:val="21"/>
        </w:rPr>
        <w:t>1</w:t>
      </w:r>
      <w:r>
        <w:rPr>
          <w:sz w:val="21"/>
        </w:rPr>
        <w:t>（</w:t>
      </w:r>
      <w:r>
        <w:rPr>
          <w:sz w:val="21"/>
        </w:rPr>
        <w:t>顺德区</w:t>
      </w:r>
      <w:r>
        <w:rPr>
          <w:sz w:val="21"/>
        </w:rPr>
        <w:t>2024</w:t>
      </w:r>
      <w:r>
        <w:rPr>
          <w:sz w:val="21"/>
        </w:rPr>
        <w:t>年</w:t>
      </w:r>
      <w:r>
        <w:rPr>
          <w:sz w:val="21"/>
        </w:rPr>
        <w:t>3</w:t>
      </w:r>
      <w:r>
        <w:rPr>
          <w:sz w:val="21"/>
        </w:rPr>
        <w:t>月</w:t>
      </w:r>
      <w:r>
        <w:rPr>
          <w:sz w:val="21"/>
        </w:rPr>
        <w:t>-2025</w:t>
      </w:r>
      <w:r>
        <w:rPr>
          <w:sz w:val="21"/>
        </w:rPr>
        <w:t>年</w:t>
      </w:r>
      <w:r>
        <w:rPr>
          <w:sz w:val="21"/>
        </w:rPr>
        <w:t>2</w:t>
      </w:r>
      <w:r>
        <w:rPr>
          <w:sz w:val="21"/>
        </w:rPr>
        <w:t>月食用农产品快速检测</w:t>
      </w:r>
      <w:r>
        <w:rPr>
          <w:sz w:val="21"/>
        </w:rPr>
        <w:t>-</w:t>
      </w:r>
      <w:r>
        <w:rPr>
          <w:sz w:val="21"/>
        </w:rPr>
        <w:t>包</w:t>
      </w:r>
      <w:r>
        <w:rPr>
          <w:sz w:val="21"/>
        </w:rPr>
        <w:t>1</w:t>
      </w:r>
      <w:r>
        <w:rPr>
          <w:sz w:val="21"/>
        </w:rPr>
        <w:t>）</w:t>
      </w:r>
    </w:p>
    <w:p>
      <w:pPr>
        <w:ind w:firstLine="420"/>
        <w:jc w:val="both"/>
      </w:pPr>
      <w:r>
        <w:rPr>
          <w:sz w:val="21"/>
        </w:rPr>
        <w:t>检测任务数共</w:t>
      </w:r>
      <w:r>
        <w:rPr>
          <w:sz w:val="21"/>
        </w:rPr>
        <w:t>105200</w:t>
      </w:r>
      <w:r>
        <w:rPr>
          <w:sz w:val="21"/>
        </w:rPr>
        <w:t>批次，全面承接大良、容桂、勒流、杏坛、均安</w:t>
      </w:r>
      <w:r>
        <w:rPr>
          <w:sz w:val="21"/>
        </w:rPr>
        <w:t>5</w:t>
      </w:r>
      <w:r>
        <w:rPr>
          <w:sz w:val="21"/>
        </w:rPr>
        <w:t>个镇街的任务，负责</w:t>
      </w:r>
      <w:r>
        <w:rPr>
          <w:sz w:val="21"/>
        </w:rPr>
        <w:t>5</w:t>
      </w:r>
      <w:r>
        <w:rPr>
          <w:sz w:val="21"/>
        </w:rPr>
        <w:t>个政府快检室（含</w:t>
      </w:r>
      <w:r>
        <w:rPr>
          <w:sz w:val="21"/>
        </w:rPr>
        <w:t>1</w:t>
      </w:r>
      <w:r>
        <w:rPr>
          <w:sz w:val="21"/>
        </w:rPr>
        <w:t>个批发市场驻场检测点）和</w:t>
      </w:r>
      <w:r>
        <w:rPr>
          <w:sz w:val="21"/>
        </w:rPr>
        <w:t>2</w:t>
      </w:r>
      <w:r>
        <w:rPr>
          <w:sz w:val="21"/>
        </w:rPr>
        <w:t>台移动快检车的运营管理、日常检测任务、专项检测任务和餐饮保障。</w:t>
      </w:r>
    </w:p>
    <w:p>
      <w:r>
        <w:rPr>
          <w:sz w:val="21"/>
        </w:rPr>
        <w:t>采购包</w:t>
      </w:r>
      <w:r>
        <w:rPr>
          <w:sz w:val="21"/>
        </w:rPr>
        <w:t>2</w:t>
      </w:r>
      <w:r>
        <w:rPr>
          <w:sz w:val="21"/>
        </w:rPr>
        <w:t>（</w:t>
      </w:r>
      <w:r>
        <w:rPr>
          <w:sz w:val="21"/>
        </w:rPr>
        <w:t>顺德区</w:t>
      </w:r>
      <w:r>
        <w:rPr>
          <w:sz w:val="21"/>
        </w:rPr>
        <w:t>2024</w:t>
      </w:r>
      <w:r>
        <w:rPr>
          <w:sz w:val="21"/>
        </w:rPr>
        <w:t>年</w:t>
      </w:r>
      <w:r>
        <w:rPr>
          <w:sz w:val="21"/>
        </w:rPr>
        <w:t>3</w:t>
      </w:r>
      <w:r>
        <w:rPr>
          <w:sz w:val="21"/>
        </w:rPr>
        <w:t>月</w:t>
      </w:r>
      <w:r>
        <w:rPr>
          <w:sz w:val="21"/>
        </w:rPr>
        <w:t>-2025</w:t>
      </w:r>
      <w:r>
        <w:rPr>
          <w:sz w:val="21"/>
        </w:rPr>
        <w:t>年</w:t>
      </w:r>
      <w:r>
        <w:rPr>
          <w:sz w:val="21"/>
        </w:rPr>
        <w:t>2</w:t>
      </w:r>
      <w:r>
        <w:rPr>
          <w:sz w:val="21"/>
        </w:rPr>
        <w:t>月食用农产品快速检测</w:t>
      </w:r>
      <w:r>
        <w:rPr>
          <w:sz w:val="21"/>
        </w:rPr>
        <w:t>-</w:t>
      </w:r>
      <w:r>
        <w:rPr>
          <w:sz w:val="21"/>
        </w:rPr>
        <w:t>包</w:t>
      </w:r>
      <w:r>
        <w:rPr>
          <w:sz w:val="21"/>
        </w:rPr>
        <w:t>2</w:t>
      </w:r>
      <w:r>
        <w:rPr>
          <w:sz w:val="21"/>
        </w:rPr>
        <w:t>）</w:t>
      </w:r>
    </w:p>
    <w:p>
      <w:pPr>
        <w:ind w:firstLine="420"/>
        <w:jc w:val="both"/>
      </w:pPr>
      <w:r>
        <w:rPr>
          <w:sz w:val="21"/>
        </w:rPr>
        <w:t>检测任务数共</w:t>
      </w:r>
      <w:r>
        <w:rPr>
          <w:sz w:val="21"/>
        </w:rPr>
        <w:t>85000</w:t>
      </w:r>
      <w:r>
        <w:rPr>
          <w:sz w:val="21"/>
        </w:rPr>
        <w:t>批次，全面承接</w:t>
      </w:r>
      <w:r>
        <w:rPr>
          <w:sz w:val="21"/>
        </w:rPr>
        <w:t>伦教</w:t>
      </w:r>
      <w:r>
        <w:rPr>
          <w:sz w:val="21"/>
        </w:rPr>
        <w:t>、北滘、乐从、龙江、陈村</w:t>
      </w:r>
      <w:r>
        <w:rPr>
          <w:sz w:val="21"/>
        </w:rPr>
        <w:t>5</w:t>
      </w:r>
      <w:r>
        <w:rPr>
          <w:sz w:val="21"/>
        </w:rPr>
        <w:t>个镇街的任务，负责</w:t>
      </w:r>
      <w:r>
        <w:rPr>
          <w:sz w:val="21"/>
        </w:rPr>
        <w:t>5</w:t>
      </w:r>
      <w:r>
        <w:rPr>
          <w:sz w:val="21"/>
        </w:rPr>
        <w:t>个政府快检室</w:t>
      </w:r>
      <w:r>
        <w:rPr>
          <w:sz w:val="21"/>
        </w:rPr>
        <w:t>（含</w:t>
      </w:r>
      <w:r>
        <w:rPr>
          <w:sz w:val="21"/>
        </w:rPr>
        <w:t>1</w:t>
      </w:r>
      <w:r>
        <w:rPr>
          <w:sz w:val="21"/>
        </w:rPr>
        <w:t>个批发市场驻场检测点）</w:t>
      </w:r>
      <w:r>
        <w:rPr>
          <w:sz w:val="21"/>
        </w:rPr>
        <w:t>和</w:t>
      </w:r>
      <w:r>
        <w:rPr>
          <w:sz w:val="21"/>
        </w:rPr>
        <w:t>1</w:t>
      </w:r>
      <w:r>
        <w:rPr>
          <w:sz w:val="21"/>
        </w:rPr>
        <w:t>台移动快检车的运营管理、日常检测任务、专项检测任务和餐饮保障</w:t>
      </w:r>
      <w:r>
        <w:rPr>
          <w:sz w:val="21"/>
        </w:rPr>
        <w:t>。</w:t>
      </w:r>
    </w:p>
    <w:p>
      <w:pPr>
        <w:jc w:val="both"/>
      </w:pPr>
      <w:r>
        <w:rPr>
          <w:sz w:val="21"/>
        </w:rPr>
        <w:t>三、</w:t>
      </w:r>
      <w:r>
        <w:rPr>
          <w:sz w:val="21"/>
        </w:rPr>
        <w:t>2023</w:t>
      </w:r>
      <w:r>
        <w:rPr>
          <w:sz w:val="21"/>
        </w:rPr>
        <w:t>年农贸市场快检重点项目清单</w:t>
      </w:r>
    </w:p>
    <w:tbl>
      <w:tblPr>
        <w:tblW w:w="0" w:type="auto"/>
        <w:tblBorders>
          <w:top w:val="none" w:color="000000" w:sz="4"/>
          <w:left w:val="none" w:color="000000" w:sz="4"/>
          <w:bottom w:val="none" w:color="000000" w:sz="4"/>
          <w:right w:val="none" w:color="000000" w:sz="4"/>
          <w:insideH w:val="none"/>
          <w:insideV w:val="none"/>
        </w:tblBorders>
      </w:tblPr>
      <w:tblGrid>
        <w:gridCol w:w="570"/>
        <w:gridCol w:w="1281"/>
        <w:gridCol w:w="3788"/>
        <w:gridCol w:w="1514"/>
        <w:gridCol w:w="1150"/>
      </w:tblGrid>
      <w:tr>
        <w:tc>
          <w:tcPr>
            <w:tcW w:type="dxa" w:w="570"/>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281"/>
            <w:tcBorders>
              <w:top w:val="single" w:color="000000" w:sz="4"/>
              <w:left w:val="single" w:color="000000" w:sz="4"/>
              <w:bottom w:val="single" w:color="000000" w:sz="4"/>
              <w:right w:val="single" w:color="000000" w:sz="4"/>
            </w:tcBorders>
            <w:vAlign w:val="top"/>
          </w:tcPr>
          <w:p>
            <w:pPr>
              <w:jc w:val="both"/>
            </w:pPr>
            <w:r>
              <w:rPr>
                <w:sz w:val="21"/>
              </w:rPr>
              <w:t>快检项目</w:t>
            </w:r>
          </w:p>
          <w:p>
            <w:pPr>
              <w:jc w:val="both"/>
            </w:pPr>
            <w:r>
              <w:rPr>
                <w:sz w:val="21"/>
              </w:rPr>
              <w:t>及参数</w:t>
            </w:r>
          </w:p>
        </w:tc>
        <w:tc>
          <w:tcPr>
            <w:tcW w:type="dxa" w:w="3788"/>
            <w:tcBorders>
              <w:top w:val="single" w:color="000000" w:sz="4"/>
              <w:left w:val="single" w:color="000000" w:sz="4"/>
              <w:bottom w:val="single" w:color="000000" w:sz="4"/>
              <w:right w:val="single" w:color="000000" w:sz="4"/>
            </w:tcBorders>
            <w:vAlign w:val="top"/>
          </w:tcPr>
          <w:p>
            <w:pPr>
              <w:jc w:val="both"/>
            </w:pPr>
            <w:r>
              <w:rPr>
                <w:sz w:val="21"/>
              </w:rPr>
              <w:t>适用范围</w:t>
            </w:r>
          </w:p>
        </w:tc>
        <w:tc>
          <w:tcPr>
            <w:tcW w:type="dxa" w:w="1514"/>
            <w:tcBorders>
              <w:top w:val="single" w:color="000000" w:sz="4"/>
              <w:left w:val="single" w:color="000000" w:sz="4"/>
              <w:bottom w:val="single" w:color="000000" w:sz="4"/>
              <w:right w:val="single" w:color="000000" w:sz="4"/>
            </w:tcBorders>
            <w:vAlign w:val="top"/>
          </w:tcPr>
          <w:p>
            <w:pPr>
              <w:jc w:val="both"/>
            </w:pPr>
            <w:r>
              <w:rPr>
                <w:sz w:val="21"/>
              </w:rPr>
              <w:t>重点品种</w:t>
            </w:r>
          </w:p>
        </w:tc>
        <w:tc>
          <w:tcPr>
            <w:tcW w:type="dxa" w:w="1150"/>
            <w:tcBorders>
              <w:top w:val="single" w:color="000000" w:sz="4"/>
              <w:left w:val="single" w:color="000000" w:sz="4"/>
              <w:bottom w:val="single" w:color="000000" w:sz="4"/>
              <w:right w:val="single" w:color="000000" w:sz="4"/>
            </w:tcBorders>
            <w:vAlign w:val="top"/>
          </w:tcPr>
          <w:p>
            <w:pPr>
              <w:jc w:val="both"/>
            </w:pPr>
            <w:r>
              <w:rPr>
                <w:sz w:val="21"/>
              </w:rPr>
              <w:t>备注</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酶抑制率法农药残留（分光光度法）</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油菜、菠菜、芹菜、韭菜等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菠菜、芹菜、韭菜、普通白菜等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2</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丙溴磷</w:t>
            </w:r>
          </w:p>
          <w:p>
            <w:pPr>
              <w:jc w:val="both"/>
            </w:pPr>
            <w:r>
              <w:rPr>
                <w:sz w:val="21"/>
              </w:rPr>
              <w:t>0.2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柑、橘、橙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新增项目</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3</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啶虫脒</w:t>
            </w:r>
          </w:p>
          <w:p>
            <w:pPr>
              <w:jc w:val="both"/>
            </w:pPr>
            <w:r>
              <w:rPr>
                <w:sz w:val="21"/>
              </w:rPr>
              <w:t>0.2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韭菜、葱、青蒜、蒜薹、结球甘蓝、花椰菜、芥蓝、菜薹（菜心）、叶菜类蔬菜、茄果类蔬菜、黄瓜、西葫芦、节瓜、苦瓜、冬瓜、南瓜、豆类蔬菜、芦笋、茎用莴苣、萝卜、豆瓣菜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花椰菜、普通白菜、大白菜、豇豆、菜豆（四季豆）、食荚豌豆、辣椒、菜薹（菜心）</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检测时需按具体品种的限量值进行稀释。</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4</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毒死蜱</w:t>
            </w:r>
          </w:p>
          <w:p>
            <w:pPr>
              <w:jc w:val="both"/>
            </w:pPr>
            <w:r>
              <w:rPr>
                <w:sz w:val="21"/>
              </w:rPr>
              <w:t>0.02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蔬菜（食荚豌豆除外）</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芹菜、菠菜、普通白菜、豇豆、菜薹（菜心）、辣椒、葱</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5</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多菌灵</w:t>
            </w:r>
          </w:p>
          <w:p>
            <w:pPr>
              <w:jc w:val="both"/>
            </w:pPr>
            <w:r>
              <w:rPr>
                <w:sz w:val="21"/>
              </w:rPr>
              <w:t>0.5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韭菜、抱子甘蓝、结球莴苣、叶芥菜、番茄、茄子、辣椒、黄瓜、西葫芦、菜豆（四季豆）、芦笋、根芥菜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菜豆（四季豆）、韭菜</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检测时需按具体品种的限量值进行稀释。</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6</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氟虫腈</w:t>
            </w:r>
          </w:p>
          <w:p>
            <w:pPr>
              <w:jc w:val="both"/>
            </w:pPr>
            <w:r>
              <w:rPr>
                <w:sz w:val="21"/>
              </w:rPr>
              <w:t>0.02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普通白菜、油麦菜、叶芥菜、豇豆、菠菜、菜薹（菜心）</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7</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甲基异柳磷</w:t>
            </w:r>
          </w:p>
          <w:p>
            <w:pPr>
              <w:jc w:val="both"/>
            </w:pPr>
            <w:r>
              <w:rPr>
                <w:sz w:val="21"/>
              </w:rPr>
              <w:t>0.01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豇豆、普通白菜、葱</w:t>
            </w:r>
            <w:r>
              <w:rPr>
                <w:sz w:val="21"/>
              </w:rPr>
              <w:t>*、结球甘蓝、芹菜</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葱</w:t>
            </w:r>
            <w:r>
              <w:rPr>
                <w:sz w:val="21"/>
              </w:rPr>
              <w:t>*易出现假阳性，制样时不可均质。</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8</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克百威</w:t>
            </w:r>
          </w:p>
          <w:p>
            <w:pPr>
              <w:jc w:val="both"/>
            </w:pPr>
            <w:r>
              <w:rPr>
                <w:sz w:val="21"/>
              </w:rPr>
              <w:t>0.02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蔬菜、水果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豇豆、韭菜、菠菜、茄子、辣椒、普通白菜、芹菜、菜豆（四季豆）、柑、橘、橙</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9</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灭蝇胺</w:t>
            </w:r>
          </w:p>
          <w:p>
            <w:pPr>
              <w:jc w:val="both"/>
            </w:pPr>
            <w:r>
              <w:rPr>
                <w:sz w:val="21"/>
              </w:rPr>
              <w:t>0.5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葱、青花菜、叶用莴苣、结球莴苣、油麦菜、叶芥菜、茎用莴苣叶、芹菜、甜椒、黄瓜、西葫芦、苦瓜、丝瓜、豇豆、菜豆、食荚豌豆、扁豆、蚕豆、豌豆、朝鲜蓟、茎用莴苣、姜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豇豆、菜豆（四季豆）、食荚豌豆、扁豆、蚕豆、豌豆</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个别厂家豆类蔬菜制样均质会出现假阳性。</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10</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三唑磷</w:t>
            </w:r>
          </w:p>
          <w:p>
            <w:pPr>
              <w:jc w:val="both"/>
            </w:pPr>
            <w:r>
              <w:rPr>
                <w:sz w:val="21"/>
              </w:rPr>
              <w:t>0.05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w:t>
            </w:r>
          </w:p>
          <w:p>
            <w:pPr>
              <w:jc w:val="both"/>
            </w:pPr>
            <w:r>
              <w:rPr>
                <w:sz w:val="21"/>
              </w:rPr>
              <w:t>柑、橘、橙、苹果、荔枝</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豇豆、柑、橘、橙</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检测时需按具体品种的限量值进行稀释。</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11</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水胺硫磷</w:t>
            </w:r>
          </w:p>
          <w:p>
            <w:pPr>
              <w:jc w:val="both"/>
            </w:pPr>
            <w:r>
              <w:rPr>
                <w:sz w:val="21"/>
              </w:rPr>
              <w:t>0.05 mg/kg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蔬菜</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豇豆、葱</w:t>
            </w:r>
            <w:r>
              <w:rPr>
                <w:sz w:val="21"/>
              </w:rPr>
              <w:t>*、菠菜、芹菜</w:t>
            </w:r>
          </w:p>
        </w:tc>
        <w:tc>
          <w:tcPr>
            <w:tcW w:type="dxa" w:w="1150"/>
            <w:tcBorders>
              <w:top w:val="none" w:color="000000" w:sz="4"/>
              <w:left w:val="single" w:color="000000" w:sz="4"/>
              <w:bottom w:val="single" w:color="000000" w:sz="4"/>
              <w:right w:val="single" w:color="000000" w:sz="4"/>
            </w:tcBorders>
            <w:vAlign w:val="top"/>
          </w:tcPr>
          <w:p>
            <w:pPr>
              <w:jc w:val="both"/>
            </w:pPr>
            <w:r>
              <w:rPr>
                <w:sz w:val="21"/>
              </w:rPr>
              <w:t>葱</w:t>
            </w:r>
            <w:r>
              <w:rPr>
                <w:sz w:val="21"/>
              </w:rPr>
              <w:t>*易出现假阳性，制样时不可均质。</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12</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孔雀石绿</w:t>
            </w:r>
          </w:p>
          <w:p>
            <w:pPr>
              <w:jc w:val="both"/>
            </w:pPr>
            <w:r>
              <w:rPr>
                <w:sz w:val="21"/>
              </w:rPr>
              <w:t>2.0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13</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氯霉素</w:t>
            </w:r>
          </w:p>
          <w:p>
            <w:pPr>
              <w:jc w:val="both"/>
            </w:pPr>
            <w:r>
              <w:rPr>
                <w:sz w:val="21"/>
              </w:rPr>
              <w:t>0.1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贝类：菲律宾蛤仔（花甲、花蛤）、波纹巴菲蛤（花甲）、白贝、蛏子（竹蛏、縊蛏两类）、方斑东风螺（花螺）、贻贝（青口）、鲍鱼等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贝类</w:t>
            </w:r>
          </w:p>
        </w:tc>
        <w:tc>
          <w:tcPr>
            <w:tcW w:type="dxa" w:w="1150"/>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虾类：南美白对虾（白对虾）、斑节对虾（草虾、竹节虾）、罗氏沼虾（大头虾）等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虾类</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禽畜肉：猪肉、牛肉、羊肉、鸡肉、鸭肉等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禽畜肉</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14</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呋喃唑酮</w:t>
            </w:r>
          </w:p>
          <w:p>
            <w:pPr>
              <w:jc w:val="both"/>
            </w:pPr>
            <w:r>
              <w:rPr>
                <w:sz w:val="21"/>
              </w:rPr>
              <w:t>代谢物</w:t>
            </w:r>
          </w:p>
          <w:p>
            <w:pPr>
              <w:jc w:val="both"/>
            </w:pPr>
            <w:r>
              <w:rPr>
                <w:sz w:val="21"/>
              </w:rPr>
              <w:t>0.5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c>
          <w:tcPr>
            <w:tcW w:type="dxa" w:w="1150"/>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虾类：南美白对虾（白对虾）、斑节对虾（草虾、竹节虾）、罗氏沼虾（大头虾）等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虾类</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15</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呋喃西林代谢物</w:t>
            </w:r>
            <w:r>
              <w:rPr>
                <w:sz w:val="21"/>
              </w:rPr>
              <w:t>0.5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16</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克伦特罗</w:t>
            </w:r>
          </w:p>
          <w:p>
            <w:pPr>
              <w:jc w:val="both"/>
            </w:pPr>
            <w:r>
              <w:rPr>
                <w:sz w:val="21"/>
              </w:rPr>
              <w:t>0.5 μg/kg</w:t>
            </w:r>
          </w:p>
        </w:tc>
        <w:tc>
          <w:tcPr>
            <w:tcW w:type="dxa" w:w="3788"/>
            <w:vMerge w:val="restart"/>
            <w:tcBorders>
              <w:top w:val="none" w:color="000000" w:sz="4"/>
              <w:left w:val="single" w:color="000000" w:sz="4"/>
              <w:bottom w:val="single" w:color="000000" w:sz="4"/>
              <w:right w:val="single" w:color="000000" w:sz="4"/>
            </w:tcBorders>
            <w:vAlign w:val="top"/>
          </w:tcPr>
          <w:p>
            <w:pPr>
              <w:jc w:val="both"/>
            </w:pPr>
            <w:r>
              <w:rPr>
                <w:sz w:val="21"/>
              </w:rPr>
              <w:t>畜肉及副产品：牛肉、羊肉、猪肉及副产品</w:t>
            </w:r>
          </w:p>
        </w:tc>
        <w:tc>
          <w:tcPr>
            <w:tcW w:type="dxa" w:w="1514"/>
            <w:vMerge w:val="restart"/>
            <w:tcBorders>
              <w:top w:val="none" w:color="000000" w:sz="4"/>
              <w:left w:val="single" w:color="000000" w:sz="4"/>
              <w:bottom w:val="single" w:color="000000" w:sz="4"/>
              <w:right w:val="single" w:color="000000" w:sz="4"/>
            </w:tcBorders>
            <w:vAlign w:val="top"/>
          </w:tcPr>
          <w:p>
            <w:pPr>
              <w:jc w:val="both"/>
            </w:pPr>
            <w:r>
              <w:rPr>
                <w:sz w:val="21"/>
              </w:rPr>
              <w:t>牛肉、羊肉、猪肉及副产品</w:t>
            </w:r>
          </w:p>
        </w:tc>
        <w:tc>
          <w:tcPr>
            <w:tcW w:type="dxa" w:w="1150"/>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17</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莱克多巴胺</w:t>
            </w:r>
          </w:p>
          <w:p>
            <w:pPr>
              <w:jc w:val="both"/>
            </w:pPr>
            <w:r>
              <w:rPr>
                <w:sz w:val="21"/>
              </w:rPr>
              <w:t>0.5 μg/kg</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18</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沙丁胺醇</w:t>
            </w:r>
          </w:p>
          <w:p>
            <w:pPr>
              <w:jc w:val="both"/>
            </w:pPr>
            <w:r>
              <w:rPr>
                <w:sz w:val="21"/>
              </w:rPr>
              <w:t>0.5 μg/kg</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19</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恩诺沙星</w:t>
            </w:r>
          </w:p>
          <w:p>
            <w:pPr>
              <w:jc w:val="both"/>
            </w:pPr>
            <w:r>
              <w:rPr>
                <w:sz w:val="21"/>
              </w:rPr>
              <w:t>100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c>
          <w:tcPr>
            <w:tcW w:type="dxa" w:w="1150"/>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贝类：菲律宾蛤仔（花甲、花蛤）、波纹巴菲蛤（花甲）、白贝、蛏子（竹蛏、縊蛏两类）、方斑东风螺（花螺）、贻贝（青口）、鲍鱼等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贝类</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虾类：南美白对虾（白对虾）、斑节对虾（草虾、竹节虾）、罗氏沼虾（大头虾）等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虾类</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其他水产品：牛蛙、中华鳖（甲鱼）等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禽畜肉：猪肉、牛肉、羊肉、鸡肉、鸭肉等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鸡肉、乌鸡</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20</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氟苯尼考</w:t>
            </w:r>
          </w:p>
          <w:p>
            <w:pPr>
              <w:jc w:val="both"/>
            </w:pPr>
            <w:r>
              <w:rPr>
                <w:sz w:val="21"/>
              </w:rPr>
              <w:t>10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蛋类：鹌鹑蛋、鸭蛋、鹅蛋、鸡蛋等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蛋类</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新增项目</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21</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氟苯尼考</w:t>
            </w:r>
          </w:p>
          <w:p>
            <w:pPr>
              <w:jc w:val="both"/>
            </w:pPr>
            <w:r>
              <w:rPr>
                <w:sz w:val="21"/>
              </w:rPr>
              <w:t>100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贝类：菲律宾蛤仔（花甲、花蛤）、波纹巴菲蛤（花甲）、白贝、蛏子（竹蛏、縊蛏两类）、方斑东风螺（花螺）、贻贝（青口）、鲍鱼等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贝类</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新增项目</w:t>
            </w:r>
          </w:p>
        </w:tc>
      </w:tr>
      <w:tr>
        <w:tc>
          <w:tcPr>
            <w:tcW w:type="dxa" w:w="570"/>
            <w:vMerge w:val="restart"/>
            <w:tcBorders>
              <w:top w:val="none" w:color="000000" w:sz="4"/>
              <w:left w:val="single" w:color="000000" w:sz="4"/>
              <w:bottom w:val="single" w:color="000000" w:sz="4"/>
              <w:right w:val="single" w:color="000000" w:sz="4"/>
            </w:tcBorders>
            <w:vAlign w:val="top"/>
          </w:tcPr>
          <w:p>
            <w:pPr>
              <w:jc w:val="both"/>
            </w:pPr>
            <w:r>
              <w:rPr>
                <w:sz w:val="21"/>
              </w:rPr>
              <w:t>22</w:t>
            </w:r>
          </w:p>
        </w:tc>
        <w:tc>
          <w:tcPr>
            <w:tcW w:type="dxa" w:w="1281"/>
            <w:vMerge w:val="restart"/>
            <w:tcBorders>
              <w:top w:val="none" w:color="000000" w:sz="4"/>
              <w:left w:val="single" w:color="000000" w:sz="4"/>
              <w:bottom w:val="single" w:color="000000" w:sz="4"/>
              <w:right w:val="single" w:color="000000" w:sz="4"/>
            </w:tcBorders>
            <w:vAlign w:val="top"/>
          </w:tcPr>
          <w:p>
            <w:pPr>
              <w:jc w:val="both"/>
            </w:pPr>
            <w:r>
              <w:rPr>
                <w:sz w:val="21"/>
              </w:rPr>
              <w:t>氧氟沙星</w:t>
            </w:r>
          </w:p>
          <w:p>
            <w:pPr>
              <w:jc w:val="both"/>
            </w:pPr>
            <w:r>
              <w:rPr>
                <w:sz w:val="21"/>
              </w:rPr>
              <w:t>2.0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鱼类：黄颡鱼（黄骨鱼）、鳜（桂花鱼）、大菱鲆（多宝鱼）、乌鳢（生鱼）、草鱼（鲩鱼）、胡子鲶（塘鲺）、花鲈（海鲈）、大口黑鲈（加洲鲈）、泥猛鱼、鲫鱼、罗非鱼（福寿鱼）、鳙鱼（大头鱼、花鲢）、鲟鱼、石斑鱼、黄鳝、泥鳅、黄鳍鲷（黄脚立）、卵形鲳鲹（金鲳）、淡水鲳鱼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鱼类</w:t>
            </w:r>
          </w:p>
        </w:tc>
        <w:tc>
          <w:tcPr>
            <w:tcW w:type="dxa" w:w="1150"/>
            <w:vMerge w:val="restart"/>
            <w:tcBorders>
              <w:top w:val="none" w:color="000000" w:sz="4"/>
              <w:left w:val="single" w:color="000000" w:sz="4"/>
              <w:bottom w:val="single" w:color="000000" w:sz="4"/>
              <w:right w:val="single" w:color="000000" w:sz="4"/>
            </w:tcBorders>
            <w:vAlign w:val="top"/>
          </w:tcPr>
          <w:p>
            <w:pPr>
              <w:jc w:val="center"/>
            </w:pPr>
            <w:r>
              <w:rPr>
                <w:sz w:val="21"/>
              </w:rPr>
              <w:t>新增项目</w:t>
            </w:r>
          </w:p>
        </w:tc>
      </w:tr>
      <w:tr>
        <w:tc>
          <w:tcPr>
            <w:tcW w:type="dxa" w:w="570"/>
            <w:vMerge/>
            <w:tcBorders>
              <w:top w:val="none" w:color="000000" w:sz="4"/>
              <w:left w:val="single" w:color="000000" w:sz="4"/>
              <w:bottom w:val="single" w:color="000000" w:sz="4"/>
              <w:right w:val="single" w:color="000000" w:sz="4"/>
            </w:tcBorders>
          </w:tcPr>
          <w:p/>
        </w:tc>
        <w:tc>
          <w:tcPr>
            <w:tcW w:type="dxa" w:w="1281"/>
            <w:vMerge/>
            <w:tcBorders>
              <w:top w:val="none" w:color="000000" w:sz="4"/>
              <w:left w:val="single" w:color="000000" w:sz="4"/>
              <w:bottom w:val="single" w:color="000000" w:sz="4"/>
              <w:right w:val="single" w:color="000000" w:sz="4"/>
            </w:tcBorders>
          </w:tcPr>
          <w:p/>
        </w:tc>
        <w:tc>
          <w:tcPr>
            <w:tcW w:type="dxa" w:w="3788"/>
            <w:tcBorders>
              <w:top w:val="none" w:color="000000" w:sz="4"/>
              <w:left w:val="single" w:color="000000" w:sz="4"/>
              <w:bottom w:val="single" w:color="000000" w:sz="4"/>
              <w:right w:val="single" w:color="000000" w:sz="4"/>
            </w:tcBorders>
            <w:vAlign w:val="top"/>
          </w:tcPr>
          <w:p>
            <w:pPr>
              <w:jc w:val="both"/>
            </w:pPr>
            <w:r>
              <w:rPr>
                <w:sz w:val="21"/>
              </w:rPr>
              <w:t>其他水产品：牛蛙</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牛蛙</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23</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喹乙醇代谢物</w:t>
            </w:r>
          </w:p>
          <w:p>
            <w:pPr>
              <w:jc w:val="both"/>
            </w:pPr>
            <w:r>
              <w:rPr>
                <w:sz w:val="21"/>
              </w:rPr>
              <w:t>4.0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猪肉</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新增项目</w:t>
            </w:r>
          </w:p>
        </w:tc>
      </w:tr>
      <w:tr>
        <w:tc>
          <w:tcPr>
            <w:tcW w:type="dxa" w:w="570"/>
            <w:tcBorders>
              <w:top w:val="none" w:color="000000" w:sz="4"/>
              <w:left w:val="single" w:color="000000" w:sz="4"/>
              <w:bottom w:val="single" w:color="000000" w:sz="4"/>
              <w:right w:val="single" w:color="000000" w:sz="4"/>
            </w:tcBorders>
            <w:vAlign w:val="top"/>
          </w:tcPr>
          <w:p>
            <w:pPr>
              <w:jc w:val="both"/>
            </w:pPr>
            <w:r>
              <w:rPr>
                <w:sz w:val="21"/>
              </w:rPr>
              <w:t>24</w:t>
            </w:r>
          </w:p>
        </w:tc>
        <w:tc>
          <w:tcPr>
            <w:tcW w:type="dxa" w:w="1281"/>
            <w:tcBorders>
              <w:top w:val="none" w:color="000000" w:sz="4"/>
              <w:left w:val="single" w:color="000000" w:sz="4"/>
              <w:bottom w:val="single" w:color="000000" w:sz="4"/>
              <w:right w:val="single" w:color="000000" w:sz="4"/>
            </w:tcBorders>
            <w:vAlign w:val="top"/>
          </w:tcPr>
          <w:p>
            <w:pPr>
              <w:jc w:val="both"/>
            </w:pPr>
            <w:r>
              <w:rPr>
                <w:sz w:val="21"/>
              </w:rPr>
              <w:t>地西泮</w:t>
            </w:r>
          </w:p>
          <w:p>
            <w:pPr>
              <w:jc w:val="both"/>
            </w:pPr>
            <w:r>
              <w:rPr>
                <w:sz w:val="21"/>
              </w:rPr>
              <w:t>0.5 μg/kg</w:t>
            </w:r>
          </w:p>
        </w:tc>
        <w:tc>
          <w:tcPr>
            <w:tcW w:type="dxa" w:w="3788"/>
            <w:tcBorders>
              <w:top w:val="none" w:color="000000" w:sz="4"/>
              <w:left w:val="single" w:color="000000" w:sz="4"/>
              <w:bottom w:val="single" w:color="000000" w:sz="4"/>
              <w:right w:val="single" w:color="000000" w:sz="4"/>
            </w:tcBorders>
            <w:vAlign w:val="top"/>
          </w:tcPr>
          <w:p>
            <w:pPr>
              <w:jc w:val="both"/>
            </w:pPr>
            <w:r>
              <w:rPr>
                <w:sz w:val="21"/>
              </w:rPr>
              <w:t>鲫鱼、草鱼（鲩鱼）、罗非鱼（福寿鱼）、淡水鲳鱼</w:t>
            </w:r>
          </w:p>
        </w:tc>
        <w:tc>
          <w:tcPr>
            <w:tcW w:type="dxa" w:w="1514"/>
            <w:tcBorders>
              <w:top w:val="none" w:color="000000" w:sz="4"/>
              <w:left w:val="single" w:color="000000" w:sz="4"/>
              <w:bottom w:val="single" w:color="000000" w:sz="4"/>
              <w:right w:val="single" w:color="000000" w:sz="4"/>
            </w:tcBorders>
            <w:vAlign w:val="top"/>
          </w:tcPr>
          <w:p>
            <w:pPr>
              <w:jc w:val="both"/>
            </w:pPr>
            <w:r>
              <w:rPr>
                <w:sz w:val="21"/>
              </w:rPr>
              <w:t>鲫鱼、草鱼（鲩鱼）、罗非鱼（福寿鱼）、淡水鲳鱼</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新增项目</w:t>
            </w:r>
          </w:p>
        </w:tc>
      </w:tr>
    </w:tbl>
    <w:p>
      <w:pPr>
        <w:jc w:val="both"/>
      </w:pPr>
    </w:p>
    <w:p>
      <w:pPr>
        <w:jc w:val="both"/>
      </w:pPr>
      <w:r>
        <w:rPr>
          <w:sz w:val="21"/>
        </w:rPr>
        <w:t>注：</w:t>
      </w:r>
    </w:p>
    <w:p>
      <w:pPr>
        <w:jc w:val="both"/>
      </w:pPr>
      <w:r>
        <w:rPr>
          <w:sz w:val="21"/>
        </w:rPr>
        <w:t>1</w:t>
      </w:r>
      <w:r>
        <w:rPr>
          <w:sz w:val="21"/>
        </w:rPr>
        <w:t>、投标人可投标一个采购包，也可同时投标多个采购包，但只能中标一个采购包，即兼投不兼中。</w:t>
      </w:r>
    </w:p>
    <w:p>
      <w:pPr>
        <w:jc w:val="both"/>
      </w:pPr>
      <w:r>
        <w:rPr>
          <w:sz w:val="21"/>
        </w:rPr>
        <w:t>2</w:t>
      </w:r>
      <w:r>
        <w:rPr>
          <w:sz w:val="21"/>
        </w:rPr>
        <w:t>、每个投标人最多只能被确定为</w:t>
      </w:r>
      <w:r>
        <w:rPr>
          <w:sz w:val="21"/>
        </w:rPr>
        <w:t>1</w:t>
      </w:r>
      <w:r>
        <w:rPr>
          <w:sz w:val="21"/>
        </w:rPr>
        <w:t>个采购包的第一中标候选人。评标委员会按采购包号由小到大的顺序评审，获得前面任意</w:t>
      </w:r>
      <w:r>
        <w:rPr>
          <w:sz w:val="21"/>
        </w:rPr>
        <w:t>1</w:t>
      </w:r>
      <w:r>
        <w:rPr>
          <w:sz w:val="21"/>
        </w:rPr>
        <w:t>个采购包的第一中标候选人的投标人，如参加后面采购包的投标，将不能通过后面采购包的符合性审查。本项目的评审顺序按照采购包号从小到大排序，即首先评审采购包</w:t>
      </w:r>
      <w:r>
        <w:rPr>
          <w:sz w:val="21"/>
        </w:rPr>
        <w:t>1</w:t>
      </w:r>
      <w:r>
        <w:rPr>
          <w:sz w:val="21"/>
        </w:rPr>
        <w:t>、然后评审采购包</w:t>
      </w:r>
      <w:r>
        <w:rPr>
          <w:sz w:val="21"/>
        </w:rPr>
        <w:t>2</w:t>
      </w:r>
      <w:r>
        <w:rPr>
          <w:sz w:val="21"/>
        </w:rPr>
        <w:t>，以此类推。本项目评审结束后，如个别采购包出现改变排序或者重新评审或重新招标等改变中标结果的情形，其他采购包的排序和评审结果均不作任何调整，且其他采购包的</w:t>
      </w:r>
      <w:r>
        <w:rPr>
          <w:sz w:val="21"/>
        </w:rPr>
        <w:t>第一</w:t>
      </w:r>
      <w:r>
        <w:rPr>
          <w:sz w:val="21"/>
        </w:rPr>
        <w:t>中标候选人不再参与个别采购包的重新评审或重新招标、不具有中标候选人推荐资格。</w:t>
      </w:r>
    </w:p>
    <w:p/>
    <w:p>
      <w:pPr>
        <w:ind w:firstLine="480"/>
      </w:pPr>
    </w:p>
    <w:p/>
    <w:p>
      <w:r>
        <w:rPr/>
        <w:t>采购包1（顺德区市场监督管理局2024年3月-2025年2月食用农产品快速检测-包1）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★服务期一年，具体起止时间以合同签订时间为准。</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1期：支付比例87.89%,★（一）合同签订生效后5个日历日内，采购人向中标人支付合同总额的87.89%作为预付款。</w:t>
            </w:r>
          </w:p>
          <w:p/>
          <w:p>
            <w:r>
              <w:rPr/>
              <w:t>2期：支付比例12.11%,★（二）整个项目全部完成经验收合格之日起5个日历日内，采购人向中标人支付合同总额的12.11%。</w:t>
            </w:r>
          </w:p>
        </w:tc>
      </w:tr>
      <w:tr>
        <w:tc>
          <w:tcPr>
            <w:tcW w:type="dxa" w:w="4153"/>
          </w:tcPr>
          <w:p>
            <w:r>
              <w:rPr/>
              <w:t>验收要求</w:t>
            </w:r>
          </w:p>
        </w:tc>
        <w:tc>
          <w:tcPr>
            <w:tcW w:type="dxa" w:w="4153"/>
          </w:tcPr>
          <w:p/>
          <w:p/>
          <w:p/>
          <w:p>
            <w:r>
              <w:rPr/>
              <w:t>1期：★（一）由采购人委托第三方机构组织专家进行考核验收，相关费用包含在合同价内。★（二）验收标准：项目采购合同约定事项履约到位，主要包括100%完成采样及检测服务（抽样、检测、记录、结果公示、不合格发现率、不合格产品处理、跟踪抽检、数据比对分析和监督抽检等），实验室运营管理规范（制度、设备设施、人员、试剂及标准物质等），日常监督管理（每月全覆盖检查、质量分析会议、分析报告等）落实到位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付款要求：（一）采购人支付每笔款项时，中标人应提供相应金额的正式发票（收款方、出具发票方和合同乙方均必须与中标人名称一致）。（二）付款方式：采用支票、银行汇付（含电汇）等形式。（三）因采购人使用的是财政资金，上述支付时间是指采购人向政府支付部门提出办理财政支付申请手续的时间，不含政府财政支付部门审核的时间。因政府财政支付审批流程及办理手续造成支付进度有所推延，而导致采购人逾期付款的，采购人不承担逾期付款违约责任。（四）付款期间如因特殊情况需调整，由双方协商处理。</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投标报价为广东省佛山市现场目的地交付固定总价包干价，并以人民币为报价货币。报价中包含（但不限于）：采样费用、购样费、检验费、邮寄费、复检费用和复查费用、车辆（如有）及相关检验设备购置费、试剂试纸耗材购买费、场地租赁等费用、人工费、数据分析费、出具报告费用、保险费用、仓储费、快检实验室费用（租赁费、辅助器具、冷藏冷冻设备、前处理设备、办公室水电费、快检仪器设备费）运输费、商检费用、验收费、招标代理服务费、税费及不可预见费等完成本采购内容所需的一切费用。 （二）投标人必须自行考虑本项目在实施期间一切可能产生的费用。在合同执行的过程中，采购人将不再另行支付与本项目相关的任何费用。 （三）投标报价不得高于本采购包的采购包预算金额，否则视为无效报价，作无效投标处理。</w:t>
            </w:r>
          </w:p>
        </w:tc>
      </w:tr>
      <w:tr>
        <w:tc>
          <w:tcPr>
            <w:tcW w:type="dxa" w:w="2076"/>
          </w:tcPr>
          <w:p>
            <w:pPr>
              <w:jc w:val="center"/>
            </w:pPr>
          </w:p>
        </w:tc>
        <w:tc>
          <w:tcPr>
            <w:tcW w:type="dxa" w:w="2076"/>
          </w:tcPr>
          <w:p>
            <w:pPr>
              <w:jc w:val="center"/>
            </w:pPr>
            <w:r>
              <w:rPr/>
              <w:t>2</w:t>
            </w:r>
          </w:p>
        </w:tc>
        <w:tc>
          <w:tcPr>
            <w:tcW w:type="dxa" w:w="2076"/>
          </w:tcPr>
          <w:p>
            <w:pPr>
              <w:jc w:val="left"/>
            </w:pPr>
            <w:r>
              <w:rPr/>
              <w:t>人员管理</w:t>
            </w:r>
          </w:p>
        </w:tc>
        <w:tc>
          <w:tcPr>
            <w:tcW w:type="dxa" w:w="2076"/>
          </w:tcPr>
          <w:p>
            <w:pPr>
              <w:jc w:val="left"/>
            </w:pPr>
            <w:r>
              <w:rPr/>
              <w:t>（一）为保障快检工作高质量开展，中标人需指定1名本采购项目专职负责人（不得由检测人员兼任，必要时可提供现场服务）全面统筹跟进本项目的监督管理工作，专职项目负责人须熟知食品安全国家标准、行业标准，掌握质量控制要求、实验室安全与防护知识等，并具备对食品安全有害因素进行安全评价以及对检测人员出具的检测数据进行分析的能力。 （二）拟投入的项目团队成员（专职项目负责人除外）不少于18人，应包含至少2名高级职称人员，全面管理指导快速检测工作，确保严格按规范要求开展快检工作。同时，包含区级或以上食药监管理部门食品安全技术专家，提供汇总分析、食品安全趋势分析及改善建议。项目团队成员中须指派不少于2名专业快检人员作为工作人员负责开展重大活动餐饮服务食品安全现场驻点保障或巡查保障（包括现场培训、指导监督、检测、采样、记录），对可疑食品和高风险食品、重点食品及原料等进行抽样和快速检测等工作，将检测结果第一时间通知采购人，如检出可疑阳性样品，立即报告并配合采购人将可疑样品送具有检测资质的实验室进行定量检测，并辅助做好食品安全监管有关工作。在重大活动结束后，做好重大活动相关信息的收集汇总，撰写工作总结，按时间顺序汇总抽样检测情况信息，建立重大活动抽样检测记录档案。 （三）★项目团队成员应熟练掌握农产品质量安全快速检测技术要求，并持有效证件上岗。 （四）★中标人须按其投标文件中承诺提供的项目组人员必须按要求投入到本项目中，并在合同签订后10个工作日内将人员的资料（包括但不限于身份证明、工作简历、培训记录、考核记录、上岗资格证书、聘任证明等）提交给采购人备案，在合同期内不得擅自更换并定期参加培训和考核。如无特殊原因原则上不能中途变更人员，确需变更人员的需经采购人书面同意。人员离开后，需在7天内作出补充。 （五）★采购人有权以书面形式要求中标人更换不能按规定履行合同的人员。即使是采购人要求或同意更换的人员，其代替人员的资质仍应得到采购人的认可，且其资历和经验均不低于被更换人员。由此而产生的费用由中标人承担。 （六）★如中标人未经采购人书面同意擅自更换项目组人员，采购人有权扣除合同总额的10%作为违约金。发生本条上述情况累计达4次后，采购人有权终止合同，由此引致的经济损失，中标人须全额赔偿，采购人保留追究中标人相关责任的权利。 （七）★中标人对其雇员的人身安全负全部责任，在服务期间，中标人商须承担项目服务人员的社会保险、意外责任、工伤责任和所有服务风险。与项目服务人员发生的一切劳务纠纷，由中标人负责。</w:t>
            </w:r>
          </w:p>
        </w:tc>
      </w:tr>
      <w:tr>
        <w:tc>
          <w:tcPr>
            <w:tcW w:type="dxa" w:w="2076"/>
          </w:tcPr>
          <w:p>
            <w:pPr>
              <w:jc w:val="center"/>
            </w:pPr>
            <w:r>
              <w:rPr/>
              <w:t>★</w:t>
            </w:r>
          </w:p>
        </w:tc>
        <w:tc>
          <w:tcPr>
            <w:tcW w:type="dxa" w:w="2076"/>
          </w:tcPr>
          <w:p>
            <w:pPr>
              <w:jc w:val="center"/>
            </w:pPr>
            <w:r>
              <w:rPr/>
              <w:t>3</w:t>
            </w:r>
          </w:p>
        </w:tc>
        <w:tc>
          <w:tcPr>
            <w:tcW w:type="dxa" w:w="2076"/>
          </w:tcPr>
          <w:p>
            <w:pPr>
              <w:jc w:val="left"/>
            </w:pPr>
            <w:r>
              <w:rPr/>
              <w:t>保密要求</w:t>
            </w:r>
          </w:p>
        </w:tc>
        <w:tc>
          <w:tcPr>
            <w:tcW w:type="dxa" w:w="2076"/>
          </w:tcPr>
          <w:p>
            <w:pPr>
              <w:jc w:val="left"/>
            </w:pPr>
            <w:r>
              <w:rPr/>
              <w:t>任何一方应保证其工作人员或相关人员会对本项目的条款严格保密。中标人有义务对采购人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中标人因违反本条保密义务，给采购人造成的损失的，须进行赔偿。该保密义务不因合同终止而终止，双方须严格保密至相关信息已向大众公开为止。</w:t>
            </w:r>
          </w:p>
        </w:tc>
      </w:tr>
      <w:tr>
        <w:tc>
          <w:tcPr>
            <w:tcW w:type="dxa" w:w="2076"/>
          </w:tcPr>
          <w:p>
            <w:pPr>
              <w:jc w:val="center"/>
            </w:pPr>
            <w:r>
              <w:rPr/>
              <w:t>★</w:t>
            </w:r>
          </w:p>
        </w:tc>
        <w:tc>
          <w:tcPr>
            <w:tcW w:type="dxa" w:w="2076"/>
          </w:tcPr>
          <w:p>
            <w:pPr>
              <w:jc w:val="center"/>
            </w:pPr>
            <w:r>
              <w:rPr/>
              <w:t>4</w:t>
            </w:r>
          </w:p>
        </w:tc>
        <w:tc>
          <w:tcPr>
            <w:tcW w:type="dxa" w:w="2076"/>
          </w:tcPr>
          <w:p>
            <w:pPr>
              <w:jc w:val="left"/>
            </w:pPr>
            <w:r>
              <w:rPr/>
              <w:t>成果归属</w:t>
            </w:r>
          </w:p>
        </w:tc>
        <w:tc>
          <w:tcPr>
            <w:tcW w:type="dxa" w:w="2076"/>
          </w:tcPr>
          <w:p>
            <w:pPr>
              <w:jc w:val="left"/>
            </w:pPr>
            <w:r>
              <w:rPr/>
              <w:t>（一）本项目的所有成果著作权等知识产权和所有权益归采购人所有。未经采购人书面同意，中标人不得引用、发表和向第三者提供。 （二）采购人引用中标人的工作成果所完成的新的技术成果，属于采购人所有，采购人可依法享有就该项技术成果取得的精神权利、经济权利和其他权利。 （三）无论发生不限于合同何种情形（包括但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tc>
      </w:tr>
      <w:tr>
        <w:tc>
          <w:tcPr>
            <w:tcW w:type="dxa" w:w="2076"/>
          </w:tcPr>
          <w:p>
            <w:pPr>
              <w:jc w:val="center"/>
            </w:pPr>
            <w:r>
              <w:rPr/>
              <w:t>★</w:t>
            </w:r>
          </w:p>
        </w:tc>
        <w:tc>
          <w:tcPr>
            <w:tcW w:type="dxa" w:w="2076"/>
          </w:tcPr>
          <w:p>
            <w:pPr>
              <w:jc w:val="center"/>
            </w:pPr>
            <w:r>
              <w:rPr/>
              <w:t>5</w:t>
            </w:r>
          </w:p>
        </w:tc>
        <w:tc>
          <w:tcPr>
            <w:tcW w:type="dxa" w:w="2076"/>
          </w:tcPr>
          <w:p>
            <w:pPr>
              <w:jc w:val="left"/>
            </w:pPr>
            <w:r>
              <w:rPr/>
              <w:t>违约责任</w:t>
            </w:r>
          </w:p>
        </w:tc>
        <w:tc>
          <w:tcPr>
            <w:tcW w:type="dxa" w:w="2076"/>
          </w:tcPr>
          <w:p>
            <w:pPr>
              <w:jc w:val="left"/>
            </w:pPr>
            <w:r>
              <w:rPr/>
              <w:t>（一）中标人提供的服务不符合以下情形的，采购人有权拒收，并且中标人须向采购人支付合同总额5%的违约金。 1、中标人未按照合同、招标文件、投标文件以及省、市市场监督管理部门快检相关文件最新规定，按时按质按量完成采购人采购的食用农产品快速检测任务。中标人在合同履行期限内完成的食用农产品快检批次数量未达到约定检测任务批次数量。 2、中标人未按照约定配备符合要求的检测人员、项目负责人的，或因上述人员流动性过大、工作能力不足等原因影响到采购项目开展及工作质量。 3、中标人在项目服务期间的快检阳性总体发现率低于1.5%。 4、中标人对自查和各级市监部门监督检查发现的问题，应及时进行整改，举一反三，全面排查存在问题。中标人拒不整改或整改不力、出现反复，经采购人约谈后仍然整改不到位。 5、中标人提供的服务不符合合同、招标文件、投标文件以及省、市市场监督管理部门快检相关文件规定的其他情形。 注：合同、招标文件、投标文件以及省、市市场监督管理部门快检相关文件规定存在冲突的，以要求较高者为适用标准。 （二）中标人应确保检测数据的真实性、可溯性和准确性，中标人对检测数据、原始记录等存在造假行为的，采购人有权解除合同，中标人应退还采购人已经支付的款项并承担合同总金额10%的违约金，违约金不足以弥补对采购人造成的损失的，中标人还需支付采购人损失赔偿。 （三）中标人未能按规定的时间提供服务，从逾期之日起每日按合同总额3‰的数额向采购人支付违约金；逾期15天以上的，采购人有权终止合同，由此造成的采购人经济损失由中标人承担。 （四）采购人无正当理由拒绝接受服务，到期拒付服务款项的，采购人向中标人偿付合同总额5%的违约金。 （五）中标人将本项目转包或分包的，采购人有权终止合同，由此造成的采购人经济损失由中标人承担。 （六）其它违约责任按《中华人民共和国民法典》处理。</w:t>
            </w:r>
          </w:p>
        </w:tc>
      </w:tr>
      <w:tr>
        <w:tc>
          <w:tcPr>
            <w:tcW w:type="dxa" w:w="2076"/>
          </w:tcPr>
          <w:p>
            <w:pPr>
              <w:jc w:val="center"/>
            </w:pPr>
            <w:r>
              <w:rPr/>
              <w:t>★</w:t>
            </w:r>
          </w:p>
        </w:tc>
        <w:tc>
          <w:tcPr>
            <w:tcW w:type="dxa" w:w="2076"/>
          </w:tcPr>
          <w:p>
            <w:pPr>
              <w:jc w:val="center"/>
            </w:pPr>
            <w:r>
              <w:rPr/>
              <w:t>6</w:t>
            </w:r>
          </w:p>
        </w:tc>
        <w:tc>
          <w:tcPr>
            <w:tcW w:type="dxa" w:w="2076"/>
          </w:tcPr>
          <w:p>
            <w:pPr>
              <w:jc w:val="left"/>
            </w:pPr>
            <w:r>
              <w:rPr/>
              <w:t>其他要求</w:t>
            </w:r>
          </w:p>
        </w:tc>
        <w:tc>
          <w:tcPr>
            <w:tcW w:type="dxa" w:w="2076"/>
          </w:tcPr>
          <w:p>
            <w:pPr>
              <w:jc w:val="left"/>
            </w:pPr>
            <w:r>
              <w:rPr/>
              <w:t>（一）中标人在完成本采购项目过程中产生的所有纠纷（包括但不限于劳动纠纷、合同纠纷等），由中标人负责处理，与采购人无关，因处理纠纷产生的全部费用由中标人承担。 （二）目前5个政府快检室（含1个批发市场驻场检测点）和2台移动检测车均已配备了相应的设备，但如设备数量不足或者设备不符合要求时，需中标人提供相关设备，相关费用包含在报价中。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技术测试和分析服务</w:t>
            </w:r>
          </w:p>
        </w:tc>
        <w:tc>
          <w:tcPr>
            <w:tcW w:type="dxa" w:w="933"/>
          </w:tcPr>
          <w:p>
            <w:pPr>
              <w:jc w:val="left"/>
            </w:pPr>
            <w:r>
              <w:rPr/>
              <w:t>顺德区市场监督管理局2024年3月-2025年2月食用农产品快速检测-包1</w:t>
            </w:r>
          </w:p>
        </w:tc>
        <w:tc>
          <w:tcPr>
            <w:tcW w:type="dxa" w:w="933"/>
          </w:tcPr>
          <w:p>
            <w:pPr>
              <w:jc w:val="left"/>
            </w:pPr>
            <w:r>
              <w:rPr/>
              <w:t>项</w:t>
            </w:r>
          </w:p>
        </w:tc>
        <w:tc>
          <w:tcPr>
            <w:tcW w:type="dxa" w:w="933"/>
          </w:tcPr>
          <w:p>
            <w:pPr>
              <w:jc w:val="right"/>
            </w:pPr>
            <w:r>
              <w:rPr/>
              <w:t>1.00</w:t>
            </w:r>
          </w:p>
        </w:tc>
        <w:tc>
          <w:tcPr>
            <w:tcW w:type="dxa" w:w="933"/>
          </w:tcPr>
          <w:p>
            <w:pPr>
              <w:jc w:val="right"/>
            </w:pPr>
            <w:r>
              <w:rPr/>
              <w:t>2,489,000.00</w:t>
            </w:r>
          </w:p>
        </w:tc>
        <w:tc>
          <w:tcPr>
            <w:tcW w:type="dxa" w:w="933"/>
          </w:tcPr>
          <w:p>
            <w:pPr>
              <w:jc w:val="right"/>
            </w:pPr>
            <w:r>
              <w:rPr/>
              <w:t>2,489,000.00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顺德区市场监督管理局2024年3月-2025年2月食用农产品快速检测-包1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采样及检测服务</w:t>
            </w:r>
          </w:p>
          <w:p>
            <w:pPr>
              <w:jc w:val="both"/>
            </w:pPr>
            <w:r>
              <w:rPr>
                <w:sz w:val="21"/>
              </w:rPr>
              <w:t>（一）中标人必须严格按照《市场监管总局关于规范食品快速检测使用的意见》（国市监食检规〔</w:t>
            </w:r>
            <w:r>
              <w:rPr>
                <w:sz w:val="21"/>
              </w:rPr>
              <w:t>2023</w:t>
            </w:r>
            <w:r>
              <w:rPr>
                <w:sz w:val="21"/>
              </w:rPr>
              <w:t>〕</w:t>
            </w:r>
            <w:r>
              <w:rPr>
                <w:sz w:val="21"/>
              </w:rPr>
              <w:t>1</w:t>
            </w:r>
            <w:r>
              <w:rPr>
                <w:sz w:val="21"/>
              </w:rPr>
              <w:t>号）、《关于进一步规范农贸市场快检工作的通知》（粤食药监办食农〔</w:t>
            </w:r>
            <w:r>
              <w:rPr>
                <w:sz w:val="21"/>
              </w:rPr>
              <w:t>2016</w:t>
            </w:r>
            <w:r>
              <w:rPr>
                <w:sz w:val="21"/>
              </w:rPr>
              <w:t>〕</w:t>
            </w:r>
            <w:r>
              <w:rPr>
                <w:sz w:val="21"/>
              </w:rPr>
              <w:t>389</w:t>
            </w:r>
            <w:r>
              <w:rPr>
                <w:sz w:val="21"/>
              </w:rPr>
              <w:t>号）、《广东省市场监督管理局关于印发</w:t>
            </w:r>
            <w:r>
              <w:rPr>
                <w:sz w:val="21"/>
              </w:rPr>
              <w:t>2024</w:t>
            </w:r>
            <w:r>
              <w:rPr>
                <w:sz w:val="21"/>
              </w:rPr>
              <w:t>年全省食用农产品快速检测工作方案的通知》（粤市监食经〔</w:t>
            </w:r>
            <w:r>
              <w:rPr>
                <w:sz w:val="21"/>
              </w:rPr>
              <w:t>202</w:t>
            </w:r>
            <w:r>
              <w:rPr>
                <w:sz w:val="21"/>
              </w:rPr>
              <w:t>4</w:t>
            </w:r>
            <w:r>
              <w:rPr>
                <w:sz w:val="21"/>
              </w:rPr>
              <w:t>〕</w:t>
            </w:r>
            <w:r>
              <w:rPr>
                <w:sz w:val="21"/>
              </w:rPr>
              <w:t>45</w:t>
            </w:r>
            <w:r>
              <w:rPr>
                <w:sz w:val="21"/>
              </w:rPr>
              <w:t>号</w:t>
            </w:r>
            <w:r>
              <w:rPr>
                <w:sz w:val="21"/>
              </w:rPr>
              <w:t>)</w:t>
            </w:r>
            <w:r>
              <w:rPr>
                <w:sz w:val="21"/>
              </w:rPr>
              <w:t>、《广东省市场监督管理局办公室关于委托省食品检验所对食用农产品快检工作开展监督及质量评价的通知》（粤市监办发〔</w:t>
            </w:r>
            <w:r>
              <w:rPr>
                <w:sz w:val="21"/>
              </w:rPr>
              <w:t>2023</w:t>
            </w:r>
            <w:r>
              <w:rPr>
                <w:sz w:val="21"/>
              </w:rPr>
              <w:t>〕</w:t>
            </w:r>
            <w:r>
              <w:rPr>
                <w:sz w:val="21"/>
              </w:rPr>
              <w:t>994</w:t>
            </w:r>
            <w:r>
              <w:rPr>
                <w:sz w:val="21"/>
              </w:rPr>
              <w:t>号）等相关规定要求（当本项目相关技术文件更新时，以更新后的版本为准。如国家、省另有最新的技术规定，则以相应最新规定执行）以及快检设备、快检试剂操作使用方法（有国家规定快速检测方法的不得使用其他方法），按程序、依步骤开展快检，做好抽样、检验、结果记录和公示结果照片记录，做好留样工作，准确填写和妥善保存相关信息记录，确保数据溯源性，以备核查。</w:t>
            </w:r>
          </w:p>
          <w:p>
            <w:pPr>
              <w:jc w:val="both"/>
            </w:pPr>
            <w:r>
              <w:rPr>
                <w:sz w:val="21"/>
              </w:rPr>
              <w:t>（二）对快检不合格食用农产品，中标人需规范填写快检不合格结果告知书，按规定时间（快检完成后</w:t>
            </w:r>
            <w:r>
              <w:rPr>
                <w:sz w:val="21"/>
              </w:rPr>
              <w:t>0.5</w:t>
            </w:r>
            <w:r>
              <w:rPr>
                <w:sz w:val="21"/>
              </w:rPr>
              <w:t>小时）内通知被抽样方，并向经营者送达快检不合格结果告知书，通知经营者立即暂停销售。经营者认可快检结果的，</w:t>
            </w:r>
            <w:r>
              <w:rPr>
                <w:sz w:val="21"/>
              </w:rPr>
              <w:t>通知</w:t>
            </w:r>
            <w:r>
              <w:rPr>
                <w:sz w:val="21"/>
              </w:rPr>
              <w:t>市场开办者监督经营者现场销毁，对整个销毁过程进行拍照（照片必须体现销毁过程）或视频取证并按对应的告知书编号保存，填写销毁记录表、如实记录不合格产品来源信息，督促食用农产品经营者落实进货查验记录制度等。中标人需现场指导经营者严格按照广东省市场监督管理局、佛山市市场监督管理局要求及时做好不合格产品销毁处置工作，防止不合格食用农产品回流市场，并督促经营者落实食品召回制度。经营者提出异议的，中标人要通知属地市场监管所并进行监督抽检，检验期间，责令经营者暂停销售快检不合格的食用农产品。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对广东省市场监督管理局明确规定快速检测结果呈阳性应启动抽样检验程序的检测项目检出的不合格样品、被抽样单位有异议提出复检的不合格样品，由中标人的法检实验室负责进行法检确认和监督抽检，并及时出具书面检验报告给属地市场监管所依法处理。</w:t>
            </w:r>
          </w:p>
          <w:p>
            <w:pPr>
              <w:jc w:val="both"/>
            </w:pPr>
            <w:r>
              <w:rPr>
                <w:sz w:val="21"/>
              </w:rPr>
              <w:t>（三）为做好阳性样品的后续跟踪处理及相关追溯调查，要求中标人具备的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号）中的附件《</w:t>
            </w:r>
            <w:r>
              <w:rPr>
                <w:sz w:val="21"/>
              </w:rPr>
              <w:t>2023</w:t>
            </w:r>
            <w:r>
              <w:rPr>
                <w:sz w:val="21"/>
              </w:rPr>
              <w:t>年食用农产品监督抽检品种、项目表》的检测项目。并根据省农业厅（农业农村厅）的强制要求参加省农业厅（农业农村厅）组织的能力验证，确保其食用农产品的法定检测资质持续有效。</w:t>
            </w:r>
          </w:p>
          <w:p>
            <w:pPr>
              <w:jc w:val="both"/>
            </w:pPr>
            <w:r>
              <w:rPr>
                <w:sz w:val="21"/>
              </w:rPr>
              <w:t>（四）所有的快检数据要按规定格式实时上传至广东省快检平台。上传食用农产品快检信息包括样品名称、产地、数量、供货单位、被抽检单位、不合格项目等信息。原则上要当天上传，由于停电、设备故障等特殊原因（不可抗力），可在</w:t>
            </w:r>
            <w:r>
              <w:rPr>
                <w:sz w:val="21"/>
              </w:rPr>
              <w:t>48</w:t>
            </w:r>
            <w:r>
              <w:rPr>
                <w:sz w:val="21"/>
              </w:rPr>
              <w:t>小时内补录。中标人要加强对上传数据的检查，对错报、漏报的，要第一时间进行改正，保证平台数据的准确性和规范性。</w:t>
            </w:r>
          </w:p>
          <w:p>
            <w:pPr>
              <w:jc w:val="both"/>
            </w:pPr>
            <w:r>
              <w:rPr>
                <w:sz w:val="21"/>
              </w:rPr>
              <w:t>（五）中标人每月需至少开展一次</w:t>
            </w:r>
            <w:r>
              <w:rPr>
                <w:sz w:val="21"/>
              </w:rPr>
              <w:t>“你点我检” “你送我检”等便民活动，加强与市民的互动，增强市民参与度和知晓度，提高快检工作的社会效果。</w:t>
            </w:r>
          </w:p>
        </w:tc>
      </w:tr>
      <w:tr>
        <w:tc>
          <w:tcPr>
            <w:tcW w:type="dxa" w:w="2076"/>
          </w:tcPr>
          <w:p/>
        </w:tc>
        <w:tc>
          <w:tcPr>
            <w:tcW w:type="dxa" w:w="415"/>
          </w:tcPr>
          <w:p>
            <w:r>
              <w:rPr/>
              <w:t>2</w:t>
            </w:r>
          </w:p>
        </w:tc>
        <w:tc>
          <w:tcPr>
            <w:tcW w:type="dxa" w:w="5814"/>
          </w:tcPr>
          <w:p>
            <w:pPr>
              <w:jc w:val="both"/>
            </w:pPr>
            <w:r>
              <w:rPr>
                <w:sz w:val="21"/>
              </w:rPr>
              <w:t>采样及检测服务具体批次要求</w:t>
            </w:r>
          </w:p>
          <w:p>
            <w:pPr>
              <w:jc w:val="both"/>
            </w:pPr>
            <w:r>
              <w:rPr>
                <w:sz w:val="21"/>
              </w:rPr>
              <w:t>具体抽检要求及批次经双方协商同意后可根据广东省市场监督管理局、佛山市市场监督管理局最新文件要求和工作实际进行调整，项目服务期间抽检批次不得少于下表中约定的检测任务数。</w:t>
            </w:r>
          </w:p>
          <w:tbl>
            <w:tblPr>
              <w:tblBorders>
                <w:top w:val="none" w:color="000000" w:sz="4"/>
                <w:left w:val="none" w:color="000000" w:sz="4"/>
                <w:bottom w:val="none" w:color="000000" w:sz="4"/>
                <w:right w:val="none" w:color="000000" w:sz="4"/>
                <w:insideH w:val="none"/>
                <w:insideV w:val="none"/>
              </w:tblBorders>
            </w:tblPr>
            <w:tblGrid>
              <w:gridCol w:w="346"/>
              <w:gridCol w:w="744"/>
              <w:gridCol w:w="630"/>
              <w:gridCol w:w="611"/>
              <w:gridCol w:w="2254"/>
              <w:gridCol w:w="1010"/>
            </w:tblGrid>
            <w:tr>
              <w:tc>
                <w:tcPr>
                  <w:tcW w:type="dxa" w:w="346"/>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744"/>
                  <w:tcBorders>
                    <w:top w:val="single" w:color="000000" w:sz="4"/>
                    <w:left w:val="none" w:color="000000" w:sz="4"/>
                    <w:bottom w:val="single" w:color="000000" w:sz="4"/>
                    <w:right w:val="single" w:color="000000" w:sz="4"/>
                  </w:tcBorders>
                  <w:shd w:fill="FFFFFF"/>
                  <w:vAlign w:val="top"/>
                </w:tcPr>
                <w:p>
                  <w:pPr>
                    <w:jc w:val="both"/>
                  </w:pPr>
                  <w:r>
                    <w:rPr>
                      <w:sz w:val="21"/>
                    </w:rPr>
                    <w:t>任务名称</w:t>
                  </w:r>
                </w:p>
              </w:tc>
              <w:tc>
                <w:tcPr>
                  <w:tcW w:type="dxa" w:w="630"/>
                  <w:tcBorders>
                    <w:top w:val="single" w:color="000000" w:sz="4"/>
                    <w:left w:val="none" w:color="000000" w:sz="4"/>
                    <w:bottom w:val="single" w:color="000000" w:sz="4"/>
                    <w:right w:val="single" w:color="000000" w:sz="4"/>
                  </w:tcBorders>
                  <w:shd w:fill="FFFFFF"/>
                  <w:vAlign w:val="top"/>
                </w:tcPr>
                <w:p>
                  <w:pPr>
                    <w:jc w:val="both"/>
                  </w:pPr>
                  <w:r>
                    <w:rPr>
                      <w:sz w:val="21"/>
                    </w:rPr>
                    <w:t>检测品种</w:t>
                  </w:r>
                </w:p>
              </w:tc>
              <w:tc>
                <w:tcPr>
                  <w:tcW w:type="dxa" w:w="611"/>
                  <w:tcBorders>
                    <w:top w:val="single" w:color="000000" w:sz="4"/>
                    <w:left w:val="none" w:color="000000" w:sz="4"/>
                    <w:bottom w:val="single" w:color="000000" w:sz="4"/>
                    <w:right w:val="single" w:color="000000" w:sz="4"/>
                  </w:tcBorders>
                  <w:shd w:fill="FFFFFF"/>
                  <w:vAlign w:val="top"/>
                </w:tcPr>
                <w:p>
                  <w:pPr>
                    <w:jc w:val="both"/>
                  </w:pPr>
                  <w:r>
                    <w:rPr>
                      <w:sz w:val="21"/>
                    </w:rPr>
                    <w:t>检测批次</w:t>
                  </w:r>
                </w:p>
              </w:tc>
              <w:tc>
                <w:tcPr>
                  <w:tcW w:type="dxa" w:w="2254"/>
                  <w:tcBorders>
                    <w:top w:val="single" w:color="000000" w:sz="4"/>
                    <w:left w:val="none" w:color="000000" w:sz="4"/>
                    <w:bottom w:val="single" w:color="000000" w:sz="4"/>
                    <w:right w:val="single" w:color="000000" w:sz="4"/>
                  </w:tcBorders>
                  <w:shd w:fill="FFFFFF"/>
                  <w:vAlign w:val="top"/>
                </w:tcPr>
                <w:p>
                  <w:pPr>
                    <w:jc w:val="both"/>
                  </w:pPr>
                  <w:r>
                    <w:rPr>
                      <w:sz w:val="21"/>
                    </w:rPr>
                    <w:t>具体要求</w:t>
                  </w:r>
                </w:p>
              </w:tc>
              <w:tc>
                <w:tcPr>
                  <w:tcW w:type="dxa" w:w="1010"/>
                  <w:tcBorders>
                    <w:top w:val="single" w:color="000000" w:sz="4"/>
                    <w:left w:val="none" w:color="000000" w:sz="4"/>
                    <w:bottom w:val="single" w:color="000000" w:sz="4"/>
                    <w:right w:val="single" w:color="000000" w:sz="4"/>
                  </w:tcBorders>
                  <w:shd w:fill="FFFFFF"/>
                  <w:vAlign w:val="top"/>
                </w:tcPr>
                <w:p>
                  <w:pPr>
                    <w:jc w:val="both"/>
                  </w:pPr>
                  <w:r>
                    <w:rPr>
                      <w:sz w:val="21"/>
                    </w:rPr>
                    <w:t>备注</w:t>
                  </w:r>
                </w:p>
              </w:tc>
            </w:tr>
            <w:tr>
              <w:tc>
                <w:tcPr>
                  <w:tcW w:type="dxa" w:w="346"/>
                  <w:vMerge w:val="restart"/>
                  <w:tcBorders>
                    <w:top w:val="none" w:color="000000" w:sz="4"/>
                    <w:left w:val="single" w:color="000000" w:sz="4"/>
                    <w:bottom w:val="single" w:color="000000" w:sz="4"/>
                    <w:right w:val="single" w:color="000000" w:sz="4"/>
                  </w:tcBorders>
                  <w:shd w:fill="FFFFFF"/>
                  <w:vAlign w:val="top"/>
                </w:tcPr>
                <w:p>
                  <w:pPr>
                    <w:jc w:val="both"/>
                  </w:pPr>
                  <w:r>
                    <w:rPr>
                      <w:sz w:val="21"/>
                    </w:rPr>
                    <w:t>1</w:t>
                  </w:r>
                </w:p>
              </w:tc>
              <w:tc>
                <w:tcPr>
                  <w:tcW w:type="dxa" w:w="744"/>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家农贸市场（零售市场）专项检测任务</w:t>
                  </w:r>
                </w:p>
              </w:tc>
              <w:tc>
                <w:tcPr>
                  <w:tcW w:type="dxa" w:w="630"/>
                  <w:tcBorders>
                    <w:top w:val="none" w:color="000000" w:sz="4"/>
                    <w:left w:val="none" w:color="000000" w:sz="4"/>
                    <w:bottom w:val="none" w:color="000000" w:sz="4"/>
                    <w:right w:val="single" w:color="000000" w:sz="4"/>
                  </w:tcBorders>
                  <w:shd w:fill="FFFFFF"/>
                  <w:vAlign w:val="top"/>
                </w:tcPr>
                <w:p>
                  <w:pPr>
                    <w:jc w:val="both"/>
                  </w:pPr>
                  <w:r>
                    <w:rPr>
                      <w:sz w:val="21"/>
                    </w:rPr>
                    <w:t>蔬菜类</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54720</w:t>
                  </w:r>
                </w:p>
              </w:tc>
              <w:tc>
                <w:tcPr>
                  <w:tcW w:type="dxa" w:w="2254"/>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家农贸市场，每个零售市场每月检测数量不少于</w:t>
                  </w:r>
                  <w:r>
                    <w:rPr>
                      <w:sz w:val="21"/>
                    </w:rPr>
                    <w:t>100</w:t>
                  </w:r>
                  <w:r>
                    <w:rPr>
                      <w:sz w:val="21"/>
                    </w:rPr>
                    <w:t>批次，蔬菜不少于</w:t>
                  </w:r>
                  <w:r>
                    <w:rPr>
                      <w:sz w:val="21"/>
                    </w:rPr>
                    <w:t>80</w:t>
                  </w:r>
                  <w:r>
                    <w:rPr>
                      <w:sz w:val="21"/>
                    </w:rPr>
                    <w:t>批次（胶体金占比不低于</w:t>
                  </w:r>
                  <w:r>
                    <w:rPr>
                      <w:sz w:val="21"/>
                    </w:rPr>
                    <w:t>50%</w:t>
                  </w:r>
                  <w:r>
                    <w:rPr>
                      <w:sz w:val="21"/>
                    </w:rPr>
                    <w:t>），水产品不少于</w:t>
                  </w:r>
                  <w:r>
                    <w:rPr>
                      <w:sz w:val="21"/>
                    </w:rPr>
                    <w:t>10</w:t>
                  </w:r>
                  <w:r>
                    <w:rPr>
                      <w:sz w:val="21"/>
                    </w:rPr>
                    <w:t>批次，禽畜肉蛋类不少于</w:t>
                  </w:r>
                  <w:r>
                    <w:rPr>
                      <w:sz w:val="21"/>
                    </w:rPr>
                    <w:t>10</w:t>
                  </w:r>
                  <w:r>
                    <w:rPr>
                      <w:sz w:val="21"/>
                    </w:rPr>
                    <w:t>批次。每周开展快检不少于</w:t>
                  </w:r>
                  <w:r>
                    <w:rPr>
                      <w:sz w:val="21"/>
                    </w:rPr>
                    <w:t>5</w:t>
                  </w:r>
                  <w:r>
                    <w:rPr>
                      <w:sz w:val="21"/>
                    </w:rPr>
                    <w:t>天</w:t>
                  </w:r>
                  <w:r>
                    <w:rPr>
                      <w:sz w:val="21"/>
                    </w:rPr>
                    <w:t>。</w:t>
                  </w:r>
                </w:p>
              </w:tc>
              <w:tc>
                <w:tcPr>
                  <w:tcW w:type="dxa" w:w="1010"/>
                  <w:vMerge w:val="restart"/>
                  <w:tcBorders>
                    <w:top w:val="none" w:color="000000" w:sz="4"/>
                    <w:left w:val="none" w:color="000000" w:sz="4"/>
                    <w:bottom w:val="none" w:color="000000" w:sz="4"/>
                    <w:right w:val="single" w:color="000000" w:sz="4"/>
                  </w:tcBorders>
                  <w:shd w:fill="FFFFFF"/>
                  <w:vAlign w:val="top"/>
                </w:tcPr>
                <w:p>
                  <w:pPr>
                    <w:jc w:val="both"/>
                  </w:pPr>
                  <w:r>
                    <w:rPr>
                      <w:sz w:val="21"/>
                    </w:rPr>
                    <w:t>57</w:t>
                  </w:r>
                  <w:r>
                    <w:rPr>
                      <w:sz w:val="21"/>
                    </w:rPr>
                    <w:t>家零售市场分布在</w:t>
                  </w:r>
                  <w:r>
                    <w:rPr>
                      <w:sz w:val="21"/>
                    </w:rPr>
                    <w:t>5</w:t>
                  </w:r>
                  <w:r>
                    <w:rPr>
                      <w:sz w:val="21"/>
                    </w:rPr>
                    <w:t>个镇街，原则上大良</w:t>
                  </w:r>
                  <w:r>
                    <w:rPr>
                      <w:sz w:val="21"/>
                    </w:rPr>
                    <w:t>11</w:t>
                  </w:r>
                  <w:r>
                    <w:rPr>
                      <w:sz w:val="21"/>
                    </w:rPr>
                    <w:t>家、杏坛</w:t>
                  </w:r>
                  <w:r>
                    <w:rPr>
                      <w:sz w:val="21"/>
                    </w:rPr>
                    <w:t>12</w:t>
                  </w:r>
                  <w:r>
                    <w:rPr>
                      <w:sz w:val="21"/>
                    </w:rPr>
                    <w:t>家、均安</w:t>
                  </w:r>
                  <w:r>
                    <w:rPr>
                      <w:sz w:val="21"/>
                    </w:rPr>
                    <w:t>10</w:t>
                  </w:r>
                  <w:r>
                    <w:rPr>
                      <w:sz w:val="21"/>
                    </w:rPr>
                    <w:t>家、容桂</w:t>
                  </w:r>
                  <w:r>
                    <w:rPr>
                      <w:sz w:val="21"/>
                    </w:rPr>
                    <w:t>12</w:t>
                  </w:r>
                  <w:r>
                    <w:rPr>
                      <w:sz w:val="21"/>
                    </w:rPr>
                    <w:t>家、勒流</w:t>
                  </w:r>
                  <w:r>
                    <w:rPr>
                      <w:sz w:val="21"/>
                    </w:rPr>
                    <w:t>12</w:t>
                  </w:r>
                  <w:r>
                    <w:rPr>
                      <w:sz w:val="21"/>
                    </w:rPr>
                    <w:t>家，可根据实际情况调整，此快检任务为广东省市场监督管理局快检专项。</w:t>
                  </w:r>
                </w:p>
              </w:tc>
            </w:tr>
            <w:tr>
              <w:tc>
                <w:tcPr>
                  <w:tcW w:type="dxa" w:w="346"/>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630"/>
                  <w:tcBorders>
                    <w:top w:val="single" w:color="000000" w:sz="4"/>
                    <w:left w:val="none" w:color="000000" w:sz="4"/>
                    <w:bottom w:val="single" w:color="000000" w:sz="4"/>
                    <w:right w:val="single" w:color="000000" w:sz="4"/>
                  </w:tcBorders>
                  <w:shd w:fill="FFFFFF"/>
                  <w:vAlign w:val="top"/>
                </w:tcPr>
                <w:p>
                  <w:pPr>
                    <w:jc w:val="both"/>
                  </w:pPr>
                  <w:r>
                    <w:rPr>
                      <w:sz w:val="21"/>
                    </w:rPr>
                    <w:t>水产品</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6840</w:t>
                  </w:r>
                </w:p>
              </w:tc>
            </w:tr>
            <w:tr>
              <w:tc>
                <w:tcPr>
                  <w:tcW w:type="dxa" w:w="346"/>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630"/>
                  <w:tcBorders>
                    <w:top w:val="none" w:color="000000" w:sz="4"/>
                    <w:left w:val="none" w:color="000000" w:sz="4"/>
                    <w:bottom w:val="single" w:color="000000" w:sz="4"/>
                    <w:right w:val="single" w:color="000000" w:sz="4"/>
                  </w:tcBorders>
                  <w:shd w:fill="FFFFFF"/>
                  <w:vAlign w:val="top"/>
                </w:tcPr>
                <w:p>
                  <w:pPr>
                    <w:jc w:val="both"/>
                  </w:pPr>
                  <w:r>
                    <w:rPr>
                      <w:sz w:val="21"/>
                    </w:rPr>
                    <w:t>禽畜肉蛋类</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6840</w:t>
                  </w:r>
                </w:p>
              </w:tc>
            </w:tr>
            <w:tr>
              <w:tc>
                <w:tcPr>
                  <w:tcW w:type="dxa" w:w="346"/>
                  <w:tcBorders>
                    <w:top w:val="none" w:color="000000" w:sz="4"/>
                    <w:left w:val="single" w:color="000000" w:sz="4"/>
                    <w:bottom w:val="single" w:color="000000" w:sz="4"/>
                    <w:right w:val="single" w:color="000000" w:sz="4"/>
                  </w:tcBorders>
                  <w:shd w:fill="FFFFFF"/>
                  <w:vAlign w:val="top"/>
                </w:tcPr>
                <w:p>
                  <w:pPr>
                    <w:jc w:val="both"/>
                  </w:pPr>
                  <w:r>
                    <w:rPr>
                      <w:sz w:val="21"/>
                    </w:rPr>
                    <w:t>2</w:t>
                  </w:r>
                </w:p>
              </w:tc>
              <w:tc>
                <w:tcPr>
                  <w:tcW w:type="dxa" w:w="744"/>
                  <w:tcBorders>
                    <w:top w:val="none" w:color="000000" w:sz="4"/>
                    <w:left w:val="none" w:color="000000" w:sz="4"/>
                    <w:bottom w:val="single" w:color="000000" w:sz="4"/>
                    <w:right w:val="single" w:color="000000" w:sz="4"/>
                  </w:tcBorders>
                  <w:shd w:fill="FFFFFF"/>
                  <w:vAlign w:val="top"/>
                </w:tcPr>
                <w:p>
                  <w:pPr>
                    <w:jc w:val="both"/>
                  </w:pPr>
                  <w:r>
                    <w:rPr>
                      <w:sz w:val="21"/>
                    </w:rPr>
                    <w:t>大良金利蔬菜批发市场专项检测任务</w:t>
                  </w:r>
                </w:p>
              </w:tc>
              <w:tc>
                <w:tcPr>
                  <w:tcW w:type="dxa" w:w="630"/>
                  <w:tcBorders>
                    <w:top w:val="none" w:color="000000" w:sz="4"/>
                    <w:left w:val="none" w:color="000000" w:sz="4"/>
                    <w:bottom w:val="single" w:color="000000" w:sz="4"/>
                    <w:right w:val="single" w:color="000000" w:sz="4"/>
                  </w:tcBorders>
                  <w:shd w:fill="FFFFFF"/>
                  <w:vAlign w:val="top"/>
                </w:tcPr>
                <w:p>
                  <w:pPr>
                    <w:jc w:val="both"/>
                  </w:pPr>
                  <w:r>
                    <w:rPr>
                      <w:sz w:val="21"/>
                    </w:rPr>
                    <w:t>蔬菜类</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9900</w:t>
                  </w:r>
                </w:p>
              </w:tc>
              <w:tc>
                <w:tcPr>
                  <w:tcW w:type="dxa" w:w="2254"/>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个蔬菜批发市场（金利蔬菜批发市场）每月快检数量不少于</w:t>
                  </w:r>
                  <w:r>
                    <w:rPr>
                      <w:sz w:val="21"/>
                    </w:rPr>
                    <w:t>900</w:t>
                  </w:r>
                  <w:r>
                    <w:rPr>
                      <w:sz w:val="21"/>
                    </w:rPr>
                    <w:t>批次，其中蔬菜胶体金占比不低于蔬菜总批次数的</w:t>
                  </w:r>
                  <w:r>
                    <w:rPr>
                      <w:sz w:val="21"/>
                    </w:rPr>
                    <w:t>50%</w:t>
                  </w:r>
                  <w:r>
                    <w:rPr>
                      <w:sz w:val="21"/>
                    </w:rPr>
                    <w:t>。每周开展快检不少于</w:t>
                  </w:r>
                  <w:r>
                    <w:rPr>
                      <w:sz w:val="21"/>
                    </w:rPr>
                    <w:t>5</w:t>
                  </w:r>
                  <w:r>
                    <w:rPr>
                      <w:sz w:val="21"/>
                    </w:rPr>
                    <w:t>天</w:t>
                  </w:r>
                  <w:r>
                    <w:rPr>
                      <w:sz w:val="21"/>
                    </w:rPr>
                    <w:t>。</w:t>
                  </w:r>
                </w:p>
              </w:tc>
              <w:tc>
                <w:tcPr>
                  <w:tcW w:type="dxa" w:w="1010"/>
                  <w:tcBorders>
                    <w:top w:val="none" w:color="000000" w:sz="4"/>
                    <w:left w:val="none" w:color="000000" w:sz="4"/>
                    <w:bottom w:val="single" w:color="000000" w:sz="4"/>
                    <w:right w:val="single" w:color="000000" w:sz="4"/>
                  </w:tcBorders>
                  <w:shd w:fill="FFFFFF"/>
                  <w:vAlign w:val="top"/>
                </w:tcPr>
                <w:p>
                  <w:pPr>
                    <w:jc w:val="both"/>
                  </w:pPr>
                  <w:r>
                    <w:rPr>
                      <w:sz w:val="21"/>
                    </w:rPr>
                    <w:t>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346"/>
                  <w:vMerge w:val="restart"/>
                  <w:tcBorders>
                    <w:top w:val="none" w:color="000000" w:sz="4"/>
                    <w:left w:val="single" w:color="000000" w:sz="4"/>
                    <w:bottom w:val="single" w:color="000000" w:sz="4"/>
                    <w:right w:val="single" w:color="000000" w:sz="4"/>
                  </w:tcBorders>
                  <w:shd w:fill="FFFFFF"/>
                  <w:vAlign w:val="top"/>
                </w:tcPr>
                <w:p>
                  <w:pPr>
                    <w:jc w:val="both"/>
                  </w:pPr>
                  <w:r>
                    <w:rPr>
                      <w:sz w:val="21"/>
                    </w:rPr>
                    <w:t>3</w:t>
                  </w:r>
                </w:p>
              </w:tc>
              <w:tc>
                <w:tcPr>
                  <w:tcW w:type="dxa" w:w="744"/>
                  <w:vMerge w:val="restart"/>
                  <w:tcBorders>
                    <w:top w:val="none" w:color="000000" w:sz="4"/>
                    <w:left w:val="none" w:color="000000" w:sz="4"/>
                    <w:bottom w:val="none" w:color="000000" w:sz="4"/>
                    <w:right w:val="single" w:color="000000" w:sz="4"/>
                  </w:tcBorders>
                  <w:shd w:fill="FFFFFF"/>
                  <w:vAlign w:val="top"/>
                </w:tcPr>
                <w:p>
                  <w:pPr>
                    <w:jc w:val="both"/>
                  </w:pPr>
                  <w:r>
                    <w:rPr>
                      <w:sz w:val="21"/>
                    </w:rPr>
                    <w:t>2</w:t>
                  </w:r>
                  <w:r>
                    <w:rPr>
                      <w:sz w:val="21"/>
                    </w:rPr>
                    <w:t>台移动检测车日常检测任务</w:t>
                  </w:r>
                </w:p>
              </w:tc>
              <w:tc>
                <w:tcPr>
                  <w:tcW w:type="dxa" w:w="630"/>
                  <w:tcBorders>
                    <w:top w:val="none" w:color="000000" w:sz="4"/>
                    <w:left w:val="none" w:color="000000" w:sz="4"/>
                    <w:bottom w:val="none" w:color="000000" w:sz="4"/>
                    <w:right w:val="single" w:color="000000" w:sz="4"/>
                  </w:tcBorders>
                  <w:shd w:fill="FFFFFF"/>
                  <w:vAlign w:val="top"/>
                </w:tcPr>
                <w:p>
                  <w:pPr>
                    <w:jc w:val="both"/>
                  </w:pPr>
                  <w:r>
                    <w:rPr>
                      <w:sz w:val="21"/>
                    </w:rPr>
                    <w:t>蔬菜类</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21567</w:t>
                  </w:r>
                </w:p>
              </w:tc>
              <w:tc>
                <w:tcPr>
                  <w:tcW w:type="dxa" w:w="2254"/>
                  <w:vMerge w:val="restart"/>
                  <w:tcBorders>
                    <w:top w:val="none" w:color="000000" w:sz="4"/>
                    <w:left w:val="none" w:color="000000" w:sz="4"/>
                    <w:bottom w:val="single" w:color="000000" w:sz="4"/>
                    <w:right w:val="single" w:color="000000" w:sz="4"/>
                  </w:tcBorders>
                  <w:shd w:fill="FFFFFF"/>
                  <w:vAlign w:val="top"/>
                </w:tcPr>
                <w:p>
                  <w:pPr>
                    <w:jc w:val="both"/>
                  </w:pPr>
                  <w:r>
                    <w:rPr>
                      <w:sz w:val="21"/>
                    </w:rPr>
                    <w:t>检测范围为</w:t>
                  </w:r>
                  <w:r>
                    <w:rPr>
                      <w:sz w:val="21"/>
                    </w:rPr>
                    <w:t>25</w:t>
                  </w:r>
                  <w:r>
                    <w:rPr>
                      <w:sz w:val="21"/>
                    </w:rPr>
                    <w:t>家零售市场、大型超市、学校食堂、大型餐饮服务单位、连锁食用农产品销售企业。其中</w:t>
                  </w:r>
                  <w:r>
                    <w:rPr>
                      <w:sz w:val="21"/>
                    </w:rPr>
                    <w:t>25</w:t>
                  </w:r>
                  <w:r>
                    <w:rPr>
                      <w:sz w:val="21"/>
                    </w:rPr>
                    <w:t>家零售市场需完成</w:t>
                  </w:r>
                  <w:r>
                    <w:rPr>
                      <w:sz w:val="21"/>
                    </w:rPr>
                    <w:t>不少于</w:t>
                  </w:r>
                  <w:r>
                    <w:rPr>
                      <w:sz w:val="21"/>
                    </w:rPr>
                    <w:t>14100</w:t>
                  </w:r>
                  <w:r>
                    <w:rPr>
                      <w:sz w:val="21"/>
                    </w:rPr>
                    <w:t>批次，每月</w:t>
                  </w:r>
                  <w:r>
                    <w:rPr>
                      <w:sz w:val="21"/>
                    </w:rPr>
                    <w:t>不少于</w:t>
                  </w:r>
                  <w:r>
                    <w:rPr>
                      <w:sz w:val="21"/>
                    </w:rPr>
                    <w:t>1200</w:t>
                  </w:r>
                  <w:r>
                    <w:rPr>
                      <w:sz w:val="21"/>
                    </w:rPr>
                    <w:t>批次（剩下的</w:t>
                  </w:r>
                  <w:r>
                    <w:rPr>
                      <w:sz w:val="21"/>
                    </w:rPr>
                    <w:t>900</w:t>
                  </w:r>
                  <w:r>
                    <w:rPr>
                      <w:sz w:val="21"/>
                    </w:rPr>
                    <w:t>批次需为蔬菜，可自由调整），每月需覆盖</w:t>
                  </w:r>
                  <w:r>
                    <w:rPr>
                      <w:sz w:val="21"/>
                    </w:rPr>
                    <w:t>25</w:t>
                  </w:r>
                  <w:r>
                    <w:rPr>
                      <w:sz w:val="21"/>
                    </w:rPr>
                    <w:t>家零售市场。大型超市需完成</w:t>
                  </w:r>
                  <w:r>
                    <w:rPr>
                      <w:sz w:val="21"/>
                    </w:rPr>
                    <w:t>不少于</w:t>
                  </w:r>
                  <w:r>
                    <w:rPr>
                      <w:sz w:val="21"/>
                    </w:rPr>
                    <w:t>2475</w:t>
                  </w:r>
                  <w:r>
                    <w:rPr>
                      <w:sz w:val="21"/>
                    </w:rPr>
                    <w:t>批次，每月</w:t>
                  </w:r>
                  <w:r>
                    <w:rPr>
                      <w:sz w:val="21"/>
                    </w:rPr>
                    <w:t>不少于</w:t>
                  </w:r>
                  <w:r>
                    <w:rPr>
                      <w:sz w:val="21"/>
                    </w:rPr>
                    <w:t>225</w:t>
                  </w:r>
                  <w:r>
                    <w:rPr>
                      <w:sz w:val="21"/>
                    </w:rPr>
                    <w:t>批次。学校食堂需完成</w:t>
                  </w:r>
                  <w:r>
                    <w:rPr>
                      <w:sz w:val="21"/>
                    </w:rPr>
                    <w:t>不少于</w:t>
                  </w:r>
                  <w:r>
                    <w:rPr>
                      <w:sz w:val="21"/>
                    </w:rPr>
                    <w:t>2475</w:t>
                  </w:r>
                  <w:r>
                    <w:rPr>
                      <w:sz w:val="21"/>
                    </w:rPr>
                    <w:t>批次，每月</w:t>
                  </w:r>
                  <w:r>
                    <w:rPr>
                      <w:sz w:val="21"/>
                    </w:rPr>
                    <w:t>不少于</w:t>
                  </w:r>
                  <w:r>
                    <w:rPr>
                      <w:sz w:val="21"/>
                    </w:rPr>
                    <w:t>225</w:t>
                  </w:r>
                  <w:r>
                    <w:rPr>
                      <w:sz w:val="21"/>
                    </w:rPr>
                    <w:t>批次。大型餐饮服务单位需完成</w:t>
                  </w:r>
                  <w:r>
                    <w:rPr>
                      <w:sz w:val="21"/>
                    </w:rPr>
                    <w:t>不少于</w:t>
                  </w:r>
                  <w:r>
                    <w:rPr>
                      <w:sz w:val="21"/>
                    </w:rPr>
                    <w:t>2475</w:t>
                  </w:r>
                  <w:r>
                    <w:rPr>
                      <w:sz w:val="21"/>
                    </w:rPr>
                    <w:t>批次，每月</w:t>
                  </w:r>
                  <w:r>
                    <w:rPr>
                      <w:sz w:val="21"/>
                    </w:rPr>
                    <w:t>不少于</w:t>
                  </w:r>
                  <w:r>
                    <w:rPr>
                      <w:sz w:val="21"/>
                    </w:rPr>
                    <w:t>225</w:t>
                  </w:r>
                  <w:r>
                    <w:rPr>
                      <w:sz w:val="21"/>
                    </w:rPr>
                    <w:t>批次。连锁食用农产品销售企业需完成</w:t>
                  </w:r>
                  <w:r>
                    <w:rPr>
                      <w:sz w:val="21"/>
                    </w:rPr>
                    <w:t>不少于</w:t>
                  </w:r>
                  <w:r>
                    <w:rPr>
                      <w:sz w:val="21"/>
                    </w:rPr>
                    <w:t>2475</w:t>
                  </w:r>
                  <w:r>
                    <w:rPr>
                      <w:sz w:val="21"/>
                    </w:rPr>
                    <w:t>批次，每月</w:t>
                  </w:r>
                  <w:r>
                    <w:rPr>
                      <w:sz w:val="21"/>
                    </w:rPr>
                    <w:t>不少于</w:t>
                  </w:r>
                  <w:r>
                    <w:rPr>
                      <w:sz w:val="21"/>
                    </w:rPr>
                    <w:t>225</w:t>
                  </w:r>
                  <w:r>
                    <w:rPr>
                      <w:sz w:val="21"/>
                    </w:rPr>
                    <w:t>批次</w:t>
                  </w:r>
                  <w:r>
                    <w:rPr>
                      <w:sz w:val="21"/>
                    </w:rPr>
                    <w:t>。</w:t>
                  </w:r>
                  <w:r>
                    <w:rPr>
                      <w:sz w:val="21"/>
                    </w:rPr>
                    <w:t>以上</w:t>
                  </w:r>
                  <w:r>
                    <w:rPr>
                      <w:sz w:val="21"/>
                    </w:rPr>
                    <w:t>五</w:t>
                  </w:r>
                  <w:r>
                    <w:rPr>
                      <w:sz w:val="21"/>
                    </w:rPr>
                    <w:t>种检测地点每月检测批次原则上均需满足蔬菜类：水产品：禽畜肉蛋类</w:t>
                  </w:r>
                  <w:r>
                    <w:rPr>
                      <w:sz w:val="21"/>
                    </w:rPr>
                    <w:t>=25:4:1</w:t>
                  </w:r>
                  <w:r>
                    <w:rPr>
                      <w:sz w:val="21"/>
                    </w:rPr>
                    <w:t>，其中蔬菜胶体金占比不低于</w:t>
                  </w:r>
                  <w:r>
                    <w:rPr>
                      <w:sz w:val="21"/>
                    </w:rPr>
                    <w:t>50%</w:t>
                  </w:r>
                  <w:r>
                    <w:rPr>
                      <w:sz w:val="21"/>
                    </w:rPr>
                    <w:t>。对农贸市场开展抽检时，当天开展抽检的每个市场要覆盖蔬菜档不少于</w:t>
                  </w:r>
                  <w:r>
                    <w:rPr>
                      <w:sz w:val="21"/>
                    </w:rPr>
                    <w:t>4</w:t>
                  </w:r>
                  <w:r>
                    <w:rPr>
                      <w:sz w:val="21"/>
                    </w:rPr>
                    <w:t>档，水产档不少于</w:t>
                  </w:r>
                  <w:r>
                    <w:rPr>
                      <w:sz w:val="21"/>
                    </w:rPr>
                    <w:t>2</w:t>
                  </w:r>
                  <w:r>
                    <w:rPr>
                      <w:sz w:val="21"/>
                    </w:rPr>
                    <w:t>档。市场周边有生鲜店时，应当同时对生鲜店销售的食用农产品进行抽检。每周开展快检不少于</w:t>
                  </w:r>
                  <w:r>
                    <w:rPr>
                      <w:sz w:val="21"/>
                    </w:rPr>
                    <w:t>5</w:t>
                  </w:r>
                  <w:r>
                    <w:rPr>
                      <w:sz w:val="21"/>
                    </w:rPr>
                    <w:t>天</w:t>
                  </w:r>
                  <w:r>
                    <w:rPr>
                      <w:sz w:val="21"/>
                    </w:rPr>
                    <w:t>。</w:t>
                  </w:r>
                </w:p>
              </w:tc>
              <w:tc>
                <w:tcPr>
                  <w:tcW w:type="dxa" w:w="1010"/>
                  <w:vMerge w:val="restart"/>
                  <w:tcBorders>
                    <w:top w:val="none" w:color="000000" w:sz="4"/>
                    <w:left w:val="none" w:color="000000" w:sz="4"/>
                    <w:bottom w:val="none" w:color="000000" w:sz="4"/>
                    <w:right w:val="single" w:color="000000" w:sz="4"/>
                  </w:tcBorders>
                  <w:shd w:fill="FFFFFF"/>
                  <w:vAlign w:val="top"/>
                </w:tcPr>
                <w:p>
                  <w:pPr>
                    <w:jc w:val="both"/>
                  </w:pPr>
                  <w:r>
                    <w:rPr>
                      <w:sz w:val="21"/>
                    </w:rPr>
                    <w:t>25</w:t>
                  </w:r>
                  <w:r>
                    <w:rPr>
                      <w:sz w:val="21"/>
                    </w:rPr>
                    <w:t>家零售市场原则上是每个镇街</w:t>
                  </w:r>
                  <w:r>
                    <w:rPr>
                      <w:sz w:val="21"/>
                    </w:rPr>
                    <w:t>5</w:t>
                  </w:r>
                  <w:r>
                    <w:rPr>
                      <w:sz w:val="21"/>
                    </w:rPr>
                    <w:t>家，可根据实际情况调整。此项目履行时间：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346"/>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none" w:color="000000" w:sz="4"/>
                    <w:right w:val="single" w:color="000000" w:sz="4"/>
                  </w:tcBorders>
                </w:tcPr>
                <w:p/>
              </w:tc>
              <w:tc>
                <w:tcPr>
                  <w:tcW w:type="dxa" w:w="630"/>
                  <w:tcBorders>
                    <w:top w:val="single" w:color="000000" w:sz="4"/>
                    <w:left w:val="none" w:color="000000" w:sz="4"/>
                    <w:bottom w:val="single" w:color="000000" w:sz="4"/>
                    <w:right w:val="single" w:color="000000" w:sz="4"/>
                  </w:tcBorders>
                  <w:shd w:fill="FFFFFF"/>
                  <w:vAlign w:val="top"/>
                </w:tcPr>
                <w:p>
                  <w:pPr>
                    <w:jc w:val="both"/>
                  </w:pPr>
                  <w:r>
                    <w:rPr>
                      <w:sz w:val="21"/>
                    </w:rPr>
                    <w:t>水产品</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3307</w:t>
                  </w:r>
                </w:p>
              </w:tc>
            </w:tr>
            <w:tr>
              <w:tc>
                <w:tcPr>
                  <w:tcW w:type="dxa" w:w="346"/>
                  <w:vMerge/>
                  <w:tcBorders>
                    <w:top w:val="none" w:color="000000" w:sz="4"/>
                    <w:left w:val="single" w:color="000000" w:sz="4"/>
                    <w:bottom w:val="single" w:color="000000" w:sz="4"/>
                    <w:right w:val="single" w:color="000000" w:sz="4"/>
                  </w:tcBorders>
                </w:tcPr>
                <w:p/>
              </w:tc>
              <w:tc>
                <w:tcPr>
                  <w:tcW w:type="dxa" w:w="744"/>
                  <w:vMerge/>
                  <w:tcBorders>
                    <w:top w:val="none" w:color="000000" w:sz="4"/>
                    <w:left w:val="none" w:color="000000" w:sz="4"/>
                    <w:bottom w:val="none" w:color="000000" w:sz="4"/>
                    <w:right w:val="single" w:color="000000" w:sz="4"/>
                  </w:tcBorders>
                </w:tcPr>
                <w:p/>
              </w:tc>
              <w:tc>
                <w:tcPr>
                  <w:tcW w:type="dxa" w:w="630"/>
                  <w:tcBorders>
                    <w:top w:val="none" w:color="000000" w:sz="4"/>
                    <w:left w:val="none" w:color="000000" w:sz="4"/>
                    <w:bottom w:val="single" w:color="000000" w:sz="4"/>
                    <w:right w:val="single" w:color="000000" w:sz="4"/>
                  </w:tcBorders>
                  <w:shd w:fill="FFFFFF"/>
                  <w:vAlign w:val="top"/>
                </w:tcPr>
                <w:p>
                  <w:pPr>
                    <w:jc w:val="both"/>
                  </w:pPr>
                  <w:r>
                    <w:rPr>
                      <w:sz w:val="21"/>
                    </w:rPr>
                    <w:t>禽畜肉蛋类</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826</w:t>
                  </w:r>
                </w:p>
              </w:tc>
            </w:tr>
            <w:tr>
              <w:tc>
                <w:tcPr>
                  <w:tcW w:type="dxa" w:w="346"/>
                  <w:tcBorders>
                    <w:top w:val="none" w:color="000000" w:sz="4"/>
                    <w:left w:val="single" w:color="000000" w:sz="4"/>
                    <w:bottom w:val="single" w:color="000000" w:sz="4"/>
                    <w:right w:val="single" w:color="000000" w:sz="4"/>
                  </w:tcBorders>
                  <w:shd w:fill="FFFFFF"/>
                  <w:vAlign w:val="top"/>
                </w:tcPr>
                <w:p>
                  <w:pPr>
                    <w:jc w:val="both"/>
                  </w:pPr>
                  <w:r>
                    <w:rPr>
                      <w:sz w:val="21"/>
                    </w:rPr>
                    <w:t>4</w:t>
                  </w:r>
                </w:p>
              </w:tc>
              <w:tc>
                <w:tcPr>
                  <w:tcW w:type="dxa" w:w="744"/>
                  <w:tcBorders>
                    <w:top w:val="none" w:color="000000" w:sz="4"/>
                    <w:left w:val="none" w:color="000000" w:sz="4"/>
                    <w:bottom w:val="single" w:color="000000" w:sz="4"/>
                    <w:right w:val="single" w:color="000000" w:sz="4"/>
                  </w:tcBorders>
                  <w:shd w:fill="FFFFFF"/>
                  <w:vAlign w:val="top"/>
                </w:tcPr>
                <w:p>
                  <w:pPr>
                    <w:jc w:val="both"/>
                  </w:pPr>
                  <w:r>
                    <w:rPr>
                      <w:sz w:val="21"/>
                    </w:rPr>
                    <w:t>餐饮保障</w:t>
                  </w:r>
                </w:p>
              </w:tc>
              <w:tc>
                <w:tcPr>
                  <w:tcW w:type="dxa" w:w="630"/>
                  <w:tcBorders>
                    <w:top w:val="none" w:color="000000" w:sz="4"/>
                    <w:left w:val="none" w:color="000000" w:sz="4"/>
                    <w:bottom w:val="single" w:color="000000" w:sz="4"/>
                    <w:right w:val="single" w:color="000000" w:sz="4"/>
                  </w:tcBorders>
                  <w:shd w:fill="FFFFFF"/>
                  <w:vAlign w:val="top"/>
                </w:tcPr>
                <w:p>
                  <w:pPr>
                    <w:jc w:val="both"/>
                  </w:pPr>
                  <w:r>
                    <w:rPr>
                      <w:sz w:val="21"/>
                    </w:rPr>
                    <w:t>根据现场情况开展快检</w:t>
                  </w:r>
                </w:p>
              </w:tc>
              <w:tc>
                <w:tcPr>
                  <w:tcW w:type="dxa" w:w="611"/>
                  <w:tcBorders>
                    <w:top w:val="none" w:color="000000" w:sz="4"/>
                    <w:left w:val="none" w:color="000000" w:sz="4"/>
                    <w:bottom w:val="single" w:color="000000" w:sz="4"/>
                    <w:right w:val="single" w:color="000000" w:sz="4"/>
                  </w:tcBorders>
                  <w:shd w:fill="FFFFFF"/>
                  <w:vAlign w:val="top"/>
                </w:tcPr>
                <w:p>
                  <w:pPr>
                    <w:jc w:val="both"/>
                  </w:pPr>
                  <w:r>
                    <w:rPr>
                      <w:sz w:val="21"/>
                    </w:rPr>
                    <w:t>1200</w:t>
                  </w:r>
                </w:p>
              </w:tc>
              <w:tc>
                <w:tcPr>
                  <w:tcW w:type="dxa" w:w="2254"/>
                  <w:tcBorders>
                    <w:top w:val="none" w:color="000000" w:sz="4"/>
                    <w:left w:val="none" w:color="000000" w:sz="4"/>
                    <w:bottom w:val="single" w:color="000000" w:sz="4"/>
                    <w:right w:val="single" w:color="000000" w:sz="4"/>
                  </w:tcBorders>
                  <w:shd w:fill="FFFFFF"/>
                  <w:vAlign w:val="top"/>
                </w:tcPr>
                <w:p>
                  <w:pPr>
                    <w:jc w:val="both"/>
                  </w:pPr>
                  <w:r>
                    <w:rPr>
                      <w:sz w:val="21"/>
                    </w:rPr>
                    <w:t>服务期内预计开展不少于</w:t>
                  </w:r>
                  <w:r>
                    <w:rPr>
                      <w:sz w:val="21"/>
                    </w:rPr>
                    <w:t>24</w:t>
                  </w:r>
                  <w:r>
                    <w:rPr>
                      <w:sz w:val="21"/>
                    </w:rPr>
                    <w:t>次重大活动或参照重大活动相关要求的活动的餐饮服务食品安全保障任务。预计快速检测食品及原料不少于</w:t>
                  </w:r>
                  <w:r>
                    <w:rPr>
                      <w:sz w:val="21"/>
                    </w:rPr>
                    <w:t>1200</w:t>
                  </w:r>
                  <w:r>
                    <w:rPr>
                      <w:sz w:val="21"/>
                    </w:rPr>
                    <w:t>批次。</w:t>
                  </w:r>
                </w:p>
              </w:tc>
              <w:tc>
                <w:tcPr>
                  <w:tcW w:type="dxa" w:w="1010"/>
                  <w:tcBorders>
                    <w:top w:val="none" w:color="000000" w:sz="4"/>
                    <w:left w:val="none" w:color="000000" w:sz="4"/>
                    <w:bottom w:val="single" w:color="000000" w:sz="4"/>
                    <w:right w:val="single" w:color="000000" w:sz="4"/>
                  </w:tcBorders>
                  <w:shd w:fill="FFFFFF"/>
                  <w:vAlign w:val="top"/>
                </w:tcPr>
                <w:p>
                  <w:pPr>
                    <w:jc w:val="both"/>
                  </w:pPr>
                  <w:r>
                    <w:rPr>
                      <w:sz w:val="21"/>
                    </w:rPr>
                    <w:t>具体餐饮保障活动次数及快检批次数以实际情况为准。此项目履行时间：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1720"/>
                  <w:gridSpan w:val="3"/>
                  <w:tcBorders>
                    <w:top w:val="none" w:color="000000" w:sz="4"/>
                    <w:left w:val="single" w:color="000000" w:sz="4"/>
                    <w:bottom w:val="single" w:color="000000" w:sz="4"/>
                    <w:right w:val="single" w:color="000000" w:sz="4"/>
                  </w:tcBorders>
                  <w:shd w:fill="FFFFFF"/>
                  <w:vAlign w:val="top"/>
                </w:tcPr>
                <w:p>
                  <w:pPr>
                    <w:jc w:val="both"/>
                  </w:pPr>
                  <w:r>
                    <w:rPr>
                      <w:sz w:val="21"/>
                    </w:rPr>
                    <w:t>合计</w:t>
                  </w:r>
                </w:p>
              </w:tc>
              <w:tc>
                <w:tcPr>
                  <w:tcW w:type="dxa" w:w="3875"/>
                  <w:gridSpan w:val="3"/>
                  <w:tcBorders>
                    <w:top w:val="none" w:color="000000" w:sz="4"/>
                    <w:left w:val="none" w:color="000000" w:sz="4"/>
                    <w:bottom w:val="single" w:color="000000" w:sz="4"/>
                    <w:right w:val="single" w:color="000000" w:sz="4"/>
                  </w:tcBorders>
                  <w:shd w:fill="FFFFFF"/>
                  <w:vAlign w:val="top"/>
                </w:tcPr>
                <w:p>
                  <w:pPr>
                    <w:jc w:val="both"/>
                  </w:pPr>
                  <w:r>
                    <w:rPr>
                      <w:sz w:val="21"/>
                    </w:rPr>
                    <w:t>105200</w:t>
                  </w:r>
                  <w:r>
                    <w:rPr>
                      <w:sz w:val="21"/>
                    </w:rPr>
                    <w:t>批次</w:t>
                  </w:r>
                </w:p>
              </w:tc>
            </w:tr>
          </w:tbl>
          <w:p>
            <w:pPr>
              <w:jc w:val="both"/>
            </w:pPr>
            <w:r>
              <w:rPr>
                <w:sz w:val="21"/>
              </w:rPr>
              <w:t>注：</w:t>
            </w:r>
          </w:p>
          <w:p>
            <w:pPr>
              <w:jc w:val="both"/>
            </w:pPr>
            <w:r>
              <w:rPr>
                <w:sz w:val="21"/>
              </w:rPr>
              <w:t>（</w:t>
            </w:r>
            <w:r>
              <w:rPr>
                <w:sz w:val="21"/>
              </w:rPr>
              <w:t>1</w:t>
            </w:r>
            <w:r>
              <w:rPr>
                <w:sz w:val="21"/>
              </w:rPr>
              <w:t>）每个样品抽样量</w:t>
            </w:r>
            <w:r>
              <w:rPr>
                <w:sz w:val="21"/>
              </w:rPr>
              <w:t>原则上</w:t>
            </w:r>
            <w:r>
              <w:rPr>
                <w:sz w:val="21"/>
              </w:rPr>
              <w:t>不得少于</w:t>
            </w:r>
            <w:r>
              <w:rPr>
                <w:sz w:val="21"/>
              </w:rPr>
              <w:t>5</w:t>
            </w:r>
            <w:r>
              <w:rPr>
                <w:sz w:val="21"/>
              </w:rPr>
              <w:t>0g</w:t>
            </w:r>
            <w:r>
              <w:rPr>
                <w:sz w:val="21"/>
              </w:rPr>
              <w:t>，</w:t>
            </w:r>
            <w:r>
              <w:rPr>
                <w:sz w:val="21"/>
              </w:rPr>
              <w:t>每个水产品样品</w:t>
            </w:r>
            <w:r>
              <w:rPr>
                <w:sz w:val="21"/>
              </w:rPr>
              <w:t>原则上检测</w:t>
            </w:r>
            <w:r>
              <w:rPr>
                <w:sz w:val="21"/>
              </w:rPr>
              <w:t>1</w:t>
            </w:r>
            <w:r>
              <w:rPr>
                <w:sz w:val="21"/>
              </w:rPr>
              <w:t>个项目，最多不超过</w:t>
            </w:r>
            <w:r>
              <w:rPr>
                <w:sz w:val="21"/>
              </w:rPr>
              <w:t>2</w:t>
            </w:r>
            <w:r>
              <w:rPr>
                <w:sz w:val="21"/>
              </w:rPr>
              <w:t>个项目。</w:t>
            </w:r>
          </w:p>
          <w:p>
            <w:pPr>
              <w:jc w:val="both"/>
            </w:pPr>
            <w:r>
              <w:rPr>
                <w:sz w:val="21"/>
              </w:rPr>
              <w:t>（</w:t>
            </w:r>
            <w:r>
              <w:rPr>
                <w:sz w:val="21"/>
              </w:rPr>
              <w:t>2</w:t>
            </w:r>
            <w:r>
              <w:rPr>
                <w:sz w:val="21"/>
              </w:rPr>
              <w:t>）水产品抽检品种应覆盖鱼、虾、贝等重点品种，每周抽检不少于</w:t>
            </w:r>
            <w:r>
              <w:rPr>
                <w:sz w:val="21"/>
              </w:rPr>
              <w:t>1</w:t>
            </w:r>
            <w:r>
              <w:rPr>
                <w:sz w:val="21"/>
              </w:rPr>
              <w:t>天。原则上对当天开展抽检的单位每家抽样量不超过</w:t>
            </w:r>
            <w:r>
              <w:rPr>
                <w:sz w:val="21"/>
              </w:rPr>
              <w:t>5</w:t>
            </w:r>
            <w:r>
              <w:rPr>
                <w:sz w:val="21"/>
              </w:rPr>
              <w:t>个样品。可根据经营项目及当地消费习惯，增加选取销售量大、风险较高的食用农产品品种进行快检。有特殊情况的可以根据实际情况上报采购人后适当调整抽检比例。</w:t>
            </w:r>
          </w:p>
          <w:p>
            <w:pPr>
              <w:jc w:val="both"/>
            </w:pPr>
            <w:r>
              <w:rPr>
                <w:sz w:val="21"/>
              </w:rPr>
              <w:t>（</w:t>
            </w:r>
            <w:r>
              <w:rPr>
                <w:sz w:val="21"/>
              </w:rPr>
              <w:t>3</w:t>
            </w:r>
            <w:r>
              <w:rPr>
                <w:sz w:val="21"/>
              </w:rPr>
              <w:t>）快检品种对应检测项目和重点品种筛查应符合《</w:t>
            </w:r>
            <w:r>
              <w:rPr>
                <w:sz w:val="21"/>
              </w:rPr>
              <w:t>2023</w:t>
            </w:r>
            <w:r>
              <w:rPr>
                <w:sz w:val="21"/>
              </w:rPr>
              <w:t>年农贸市场快检项目适用范围及重点品种》，且重点品种筛查批次所占总批次数比例不少于</w:t>
            </w:r>
            <w:r>
              <w:rPr>
                <w:sz w:val="21"/>
              </w:rPr>
              <w:t>50%</w:t>
            </w:r>
            <w:r>
              <w:rPr>
                <w:sz w:val="21"/>
              </w:rPr>
              <w:t>。（适用范围和重点品种根据广东省市场监督管理局最新文件要求实时进行调整）</w:t>
            </w:r>
          </w:p>
          <w:p>
            <w:pPr>
              <w:jc w:val="both"/>
            </w:pPr>
            <w:r>
              <w:rPr>
                <w:sz w:val="21"/>
              </w:rPr>
              <w:t>（</w:t>
            </w:r>
            <w:r>
              <w:rPr>
                <w:sz w:val="21"/>
              </w:rPr>
              <w:t>4</w:t>
            </w:r>
            <w:r>
              <w:rPr>
                <w:sz w:val="21"/>
              </w:rPr>
              <w:t>）快检检测项目开展情况：①蔬菜农残酶抑制项目必须使用酶抑制率法（分光光度法），②每天蔬菜快检检测项目包括农残酶抑制项目和不少于</w:t>
            </w:r>
            <w:r>
              <w:rPr>
                <w:sz w:val="21"/>
              </w:rPr>
              <w:t>2</w:t>
            </w:r>
            <w:r>
              <w:rPr>
                <w:sz w:val="21"/>
              </w:rPr>
              <w:t>种农残胶体金试纸条法项目，③每月农残胶体金试纸条法覆盖检测项目不少于</w:t>
            </w:r>
            <w:r>
              <w:rPr>
                <w:sz w:val="21"/>
              </w:rPr>
              <w:t>7</w:t>
            </w:r>
            <w:r>
              <w:rPr>
                <w:sz w:val="21"/>
              </w:rPr>
              <w:t>项，原则上全年每种农残胶体金试纸条法检测项目检测批次均衡分布，④每月兽残覆盖检测项目不少于</w:t>
            </w:r>
            <w:r>
              <w:rPr>
                <w:sz w:val="21"/>
              </w:rPr>
              <w:t>4</w:t>
            </w:r>
            <w:r>
              <w:rPr>
                <w:sz w:val="21"/>
              </w:rPr>
              <w:t>项（其中瘦肉精、硝基呋喃类检测项目以一个检测项目计），抽检内脏品种批次不少于瘦肉精快检项目批次的</w:t>
            </w:r>
            <w:r>
              <w:rPr>
                <w:sz w:val="21"/>
              </w:rPr>
              <w:t>50%</w:t>
            </w:r>
            <w:r>
              <w:rPr>
                <w:sz w:val="21"/>
              </w:rPr>
              <w:t>，瘦肉精检测项目需覆盖盐酸克伦特罗、莱克多巴胺、沙丁胺醇项目，检测的快检批次数原则上不少于禽畜肉类快检批次数的</w:t>
            </w:r>
            <w:r>
              <w:rPr>
                <w:sz w:val="21"/>
              </w:rPr>
              <w:t>30%</w:t>
            </w:r>
            <w:r>
              <w:rPr>
                <w:sz w:val="21"/>
              </w:rPr>
              <w:t>，氯霉素、恩诺沙星等项目的快检批次数不少于禽畜肉类快检批次数的</w:t>
            </w:r>
            <w:r>
              <w:rPr>
                <w:sz w:val="21"/>
              </w:rPr>
              <w:t>30%</w:t>
            </w:r>
            <w:r>
              <w:rPr>
                <w:sz w:val="21"/>
              </w:rPr>
              <w:t>。</w:t>
            </w:r>
          </w:p>
        </w:tc>
      </w:tr>
      <w:tr>
        <w:tc>
          <w:tcPr>
            <w:tcW w:type="dxa" w:w="2076"/>
          </w:tcPr>
          <w:p>
            <w:r>
              <w:rPr/>
              <w:t>★</w:t>
            </w:r>
          </w:p>
        </w:tc>
        <w:tc>
          <w:tcPr>
            <w:tcW w:type="dxa" w:w="415"/>
          </w:tcPr>
          <w:p>
            <w:r>
              <w:rPr/>
              <w:t>3</w:t>
            </w:r>
          </w:p>
        </w:tc>
        <w:tc>
          <w:tcPr>
            <w:tcW w:type="dxa" w:w="5814"/>
          </w:tcPr>
          <w:p>
            <w:pPr>
              <w:jc w:val="both"/>
            </w:pPr>
            <w:r>
              <w:rPr>
                <w:sz w:val="21"/>
              </w:rPr>
              <w:t>检测试剂采购和使用</w:t>
            </w:r>
          </w:p>
          <w:p>
            <w:pPr>
              <w:jc w:val="both"/>
            </w:pPr>
            <w:r>
              <w:rPr>
                <w:sz w:val="21"/>
              </w:rPr>
              <w:t>（一）所有批次的试剂产品由中标人提供，中标人必须采购和使用质量合格、来源合法的快检试剂产品，留存采购快检试剂合同并做好出入库台账（包括名称、厂家、数量、批号、日期），采购的试剂量与所承接任务相匹配，检测所用快检试剂和出入库记录须相符。</w:t>
            </w:r>
          </w:p>
          <w:p>
            <w:pPr>
              <w:jc w:val="both"/>
            </w:pPr>
            <w:r>
              <w:rPr>
                <w:sz w:val="21"/>
              </w:rPr>
              <w:t>（二）中标人所使用的试剂产品必须经过技术验收，并做好验收记录。试剂产品要严格按试剂盒规定条件进行保存，保证投放的试剂产品质量稳定、可靠。定期清理临期、过期试剂并做好处理记录。快检试剂产品不在保质期内的不得使用。如中标人所采购的快检试剂经技术评价不符合要求，中标人应立即停止使用并更换快检试剂。</w:t>
            </w:r>
          </w:p>
        </w:tc>
      </w:tr>
      <w:tr>
        <w:tc>
          <w:tcPr>
            <w:tcW w:type="dxa" w:w="2076"/>
          </w:tcPr>
          <w:p/>
        </w:tc>
        <w:tc>
          <w:tcPr>
            <w:tcW w:type="dxa" w:w="415"/>
          </w:tcPr>
          <w:p>
            <w:r>
              <w:rPr/>
              <w:t>4</w:t>
            </w:r>
          </w:p>
        </w:tc>
        <w:tc>
          <w:tcPr>
            <w:tcW w:type="dxa" w:w="5814"/>
          </w:tcPr>
          <w:p>
            <w:pPr>
              <w:jc w:val="both"/>
            </w:pPr>
            <w:r>
              <w:rPr>
                <w:sz w:val="21"/>
              </w:rPr>
              <w:t>标准物质及试剂耗材</w:t>
            </w:r>
          </w:p>
          <w:p>
            <w:pPr>
              <w:jc w:val="both"/>
            </w:pPr>
            <w:r>
              <w:rPr>
                <w:sz w:val="21"/>
              </w:rPr>
              <w:t>中标人购买标准物质和关键试剂耗材时，应具备厂家提供的有效证明或标准物质证书，并按相关程序进行验收、使用、保管，确保其溯源性。其应有固定的存放地点及设备，并有相应的使用记录。检验室中各种溶液应有明确标识，并注明试剂名称、浓度、配置时间、配置人员、有效期等。鼓励中标人开发更多更为便捷实用的快检设备及方法。</w:t>
            </w:r>
          </w:p>
        </w:tc>
      </w:tr>
      <w:tr>
        <w:tc>
          <w:tcPr>
            <w:tcW w:type="dxa" w:w="2076"/>
          </w:tcPr>
          <w:p/>
        </w:tc>
        <w:tc>
          <w:tcPr>
            <w:tcW w:type="dxa" w:w="415"/>
          </w:tcPr>
          <w:p>
            <w:r>
              <w:rPr/>
              <w:t>5</w:t>
            </w:r>
          </w:p>
        </w:tc>
        <w:tc>
          <w:tcPr>
            <w:tcW w:type="dxa" w:w="5814"/>
          </w:tcPr>
          <w:p>
            <w:pPr>
              <w:jc w:val="both"/>
            </w:pPr>
            <w:r>
              <w:rPr>
                <w:sz w:val="21"/>
              </w:rPr>
              <w:t>数据对比分析及问题样品确认服务</w:t>
            </w:r>
          </w:p>
          <w:p>
            <w:pPr>
              <w:jc w:val="both"/>
            </w:pPr>
            <w:r>
              <w:rPr>
                <w:sz w:val="21"/>
              </w:rPr>
              <w:t>（一）快检结果验证：项目服务期间，中标人服务期内至少开展</w:t>
            </w:r>
            <w:r>
              <w:rPr>
                <w:sz w:val="21"/>
              </w:rPr>
              <w:t>100</w:t>
            </w:r>
            <w:r>
              <w:rPr>
                <w:sz w:val="21"/>
              </w:rPr>
              <w:t>批次快检结果与实验室定量结果的验证，以确保快检实验室检测数控的准确（验证样品不得全部为快检阴性样品），并及时将相关书面资料提供给属地市场监管所及佛山市顺德区市场监督管理局。</w:t>
            </w:r>
          </w:p>
          <w:p>
            <w:pPr>
              <w:jc w:val="both"/>
            </w:pPr>
            <w:r>
              <w:rPr>
                <w:sz w:val="21"/>
              </w:rPr>
              <w:t>（二）总结分析：中标人需每月对检测结果进行总结分析，查找问题所在，发现系统性或突出安全隐患，为下一阶段重点监测指明方向。每月月初对上月开展快速检测项目进行总结分析并出具分析报告，项目期中和期末时出具项目中期和终期总结报告。</w:t>
            </w:r>
          </w:p>
          <w:p>
            <w:pPr>
              <w:jc w:val="both"/>
            </w:pPr>
            <w:r>
              <w:rPr>
                <w:sz w:val="21"/>
              </w:rPr>
              <w:t>（三）突发应急：中标人需对顺德区突发性的食品安全事件提供应急抽样检验及专家技术支持，并参与顺德区内重大活动餐饮服务食品安全保障工作。预计项目服务期间约</w:t>
            </w:r>
            <w:r>
              <w:rPr>
                <w:sz w:val="21"/>
              </w:rPr>
              <w:t>10</w:t>
            </w:r>
            <w:r>
              <w:rPr>
                <w:sz w:val="21"/>
              </w:rPr>
              <w:t>起突发事件，</w:t>
            </w:r>
            <w:r>
              <w:rPr>
                <w:sz w:val="21"/>
              </w:rPr>
              <w:t>35</w:t>
            </w:r>
            <w:r>
              <w:rPr>
                <w:sz w:val="21"/>
              </w:rPr>
              <w:t>起重大活动餐饮保障任务。</w:t>
            </w:r>
          </w:p>
          <w:p>
            <w:pPr>
              <w:jc w:val="both"/>
            </w:pPr>
            <w:r>
              <w:rPr>
                <w:sz w:val="21"/>
              </w:rPr>
              <w:t>（四）问题样品确认及监督抽检：中标人需对广东省市场监督管理局明确规定快速检测结果呈阳性应启动抽样检验程序的检测项目检出的不合格样品以及被抽样单位有异议提出复检的不合格样品进行法检确认分析，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市场开办者按照双方协议采取降低信用、暂停经营或者清退等处理措施。相关法检报告中标人应及时提供给属地市场监管所依法处理。</w:t>
            </w:r>
          </w:p>
        </w:tc>
      </w:tr>
      <w:tr>
        <w:tc>
          <w:tcPr>
            <w:tcW w:type="dxa" w:w="2076"/>
          </w:tcPr>
          <w:p/>
        </w:tc>
        <w:tc>
          <w:tcPr>
            <w:tcW w:type="dxa" w:w="415"/>
          </w:tcPr>
          <w:p>
            <w:r>
              <w:rPr/>
              <w:t>6</w:t>
            </w:r>
          </w:p>
        </w:tc>
        <w:tc>
          <w:tcPr>
            <w:tcW w:type="dxa" w:w="5814"/>
          </w:tcPr>
          <w:p>
            <w:pPr>
              <w:jc w:val="both"/>
            </w:pPr>
            <w:r>
              <w:rPr>
                <w:sz w:val="21"/>
              </w:rPr>
              <w:t>抽样及快检结果公示</w:t>
            </w:r>
          </w:p>
          <w:p>
            <w:pPr>
              <w:jc w:val="both"/>
            </w:pPr>
            <w:r>
              <w:rPr>
                <w:sz w:val="21"/>
              </w:rPr>
              <w:t>（一）原则上全年不间断开展快检工作，每个政府实验室和每台快检车每周开展快检不少于</w:t>
            </w:r>
            <w:r>
              <w:rPr>
                <w:sz w:val="21"/>
              </w:rPr>
              <w:t>5</w:t>
            </w:r>
            <w:r>
              <w:rPr>
                <w:sz w:val="21"/>
              </w:rPr>
              <w:t>天。</w:t>
            </w:r>
          </w:p>
          <w:p>
            <w:pPr>
              <w:jc w:val="both"/>
            </w:pPr>
            <w:r>
              <w:rPr>
                <w:sz w:val="21"/>
              </w:rPr>
              <w:t>（二）抽样记录应完整规范，抽样记录信息包括日期、品种名称、被抽样单位信息（包括名称、联系方式及地址）、产品供货商、抽样人及被抽样人签名等。</w:t>
            </w:r>
          </w:p>
          <w:p>
            <w:pPr>
              <w:jc w:val="both"/>
            </w:pPr>
            <w:r>
              <w:rPr>
                <w:sz w:val="21"/>
              </w:rPr>
              <w:t>（三）快检检测原始记录须规范且可溯。实验记录要注明日期、样品名称、检测项目、检测结果、所用快检试剂产品批号等，检测数据与设备数据、留档照片、上报数据须一致。</w:t>
            </w:r>
          </w:p>
          <w:p>
            <w:pPr>
              <w:jc w:val="both"/>
            </w:pPr>
            <w:r>
              <w:rPr>
                <w:sz w:val="21"/>
              </w:rPr>
              <w:t>（四）及时公示快检信息。原则上应在每天上午</w:t>
            </w:r>
            <w:r>
              <w:rPr>
                <w:sz w:val="21"/>
              </w:rPr>
              <w:t>10:00</w:t>
            </w:r>
            <w:r>
              <w:rPr>
                <w:sz w:val="21"/>
              </w:rPr>
              <w:t>前完成快检，并将快检结果送达经营者。在其经营场所主要出入口的显著位置通过张贴或电子屏幕等方式及时公示当天食用农产品快检结果，包括样品名称、被抽样单位名称及地址、检验项目、检验结果、不合格产品处理情况等，引导群众消费，督促经营者自觉把好食用农产品质量安全关。公示内容与检测结果要一致，并做好公示结果照片记录。</w:t>
            </w:r>
          </w:p>
          <w:p>
            <w:pPr>
              <w:jc w:val="both"/>
            </w:pPr>
            <w:r>
              <w:rPr>
                <w:sz w:val="21"/>
              </w:rPr>
              <w:t>（五）批发市场内发现无进货凭证和无承诺达标合格证或者其他质量合格凭证（市场开办者已落实入场查验快检合格除外）的产品，快检人员应当立即报告所在地市场监管部门责令市场开办者依法处理，不得开展快检。</w:t>
            </w:r>
          </w:p>
        </w:tc>
      </w:tr>
      <w:tr>
        <w:tc>
          <w:tcPr>
            <w:tcW w:type="dxa" w:w="2076"/>
          </w:tcPr>
          <w:p/>
        </w:tc>
        <w:tc>
          <w:tcPr>
            <w:tcW w:type="dxa" w:w="415"/>
          </w:tcPr>
          <w:p>
            <w:r>
              <w:rPr/>
              <w:t>7</w:t>
            </w:r>
          </w:p>
        </w:tc>
        <w:tc>
          <w:tcPr>
            <w:tcW w:type="dxa" w:w="5814"/>
          </w:tcPr>
          <w:p>
            <w:pPr>
              <w:jc w:val="both"/>
            </w:pPr>
            <w:r>
              <w:rPr>
                <w:sz w:val="21"/>
              </w:rPr>
              <w:t>问题发现及处理</w:t>
            </w:r>
          </w:p>
          <w:p>
            <w:pPr>
              <w:jc w:val="both"/>
            </w:pPr>
            <w:r>
              <w:rPr>
                <w:sz w:val="21"/>
              </w:rPr>
              <w:t>（一）本包组共计快速检测食用农产品</w:t>
            </w:r>
            <w:r>
              <w:rPr>
                <w:sz w:val="21"/>
              </w:rPr>
              <w:t>105200</w:t>
            </w:r>
            <w:r>
              <w:rPr>
                <w:sz w:val="21"/>
              </w:rPr>
              <w:t>批次，项目服务期间快检阳性发现率不得低于</w:t>
            </w:r>
            <w:r>
              <w:rPr>
                <w:sz w:val="21"/>
              </w:rPr>
              <w:t>1.5%</w:t>
            </w:r>
            <w:r>
              <w:rPr>
                <w:sz w:val="21"/>
              </w:rPr>
              <w:t>。</w:t>
            </w:r>
          </w:p>
          <w:p>
            <w:pPr>
              <w:jc w:val="both"/>
            </w:pPr>
            <w:r>
              <w:rPr>
                <w:sz w:val="21"/>
              </w:rPr>
              <w:t>（二）中标人应于每月初</w:t>
            </w:r>
            <w:r>
              <w:rPr>
                <w:sz w:val="21"/>
              </w:rPr>
              <w:t>3</w:t>
            </w:r>
            <w:r>
              <w:rPr>
                <w:sz w:val="21"/>
              </w:rPr>
              <w:t>个工作日内提交抽检计划给采购人，每月月底对当月开展快速检测项目进行总结分析并于下月初</w:t>
            </w:r>
            <w:r>
              <w:rPr>
                <w:sz w:val="21"/>
              </w:rPr>
              <w:t>5</w:t>
            </w:r>
            <w:r>
              <w:rPr>
                <w:sz w:val="21"/>
              </w:rPr>
              <w:t>个工作日内出具上月分析报告。分析报告包含当月发现的问题样品检测情况，并针对当季当地特点对后续检测样本的采集、检测方法提出建议，对潜在高风险品种进行重点抽检，确保食品安全检测工作有的放矢。</w:t>
            </w:r>
          </w:p>
          <w:p>
            <w:pPr>
              <w:jc w:val="both"/>
            </w:pPr>
            <w:r>
              <w:rPr>
                <w:sz w:val="21"/>
              </w:rPr>
              <w:t>（三）中标人要对检测人员的检测工作量、规范性、合格率进行汇总分析，定期开展交叉比对，并建立相关的考核制度。</w:t>
            </w:r>
          </w:p>
        </w:tc>
      </w:tr>
      <w:tr>
        <w:tc>
          <w:tcPr>
            <w:tcW w:type="dxa" w:w="2076"/>
          </w:tcPr>
          <w:p/>
        </w:tc>
        <w:tc>
          <w:tcPr>
            <w:tcW w:type="dxa" w:w="415"/>
          </w:tcPr>
          <w:p>
            <w:r>
              <w:rPr/>
              <w:t>8</w:t>
            </w:r>
          </w:p>
        </w:tc>
        <w:tc>
          <w:tcPr>
            <w:tcW w:type="dxa" w:w="5814"/>
          </w:tcPr>
          <w:p>
            <w:pPr>
              <w:jc w:val="both"/>
            </w:pPr>
            <w:r>
              <w:rPr>
                <w:sz w:val="21"/>
              </w:rPr>
              <w:t>抽样数据服务</w:t>
            </w:r>
          </w:p>
          <w:p>
            <w:pPr>
              <w:jc w:val="both"/>
            </w:pPr>
            <w:r>
              <w:rPr>
                <w:sz w:val="21"/>
              </w:rPr>
              <w:t>（一）加强抽样信息管理，检测平台对接顺德区企业法人库和许可库。</w:t>
            </w:r>
          </w:p>
          <w:p>
            <w:pPr>
              <w:jc w:val="both"/>
            </w:pPr>
            <w:r>
              <w:rPr>
                <w:sz w:val="21"/>
              </w:rPr>
              <w:t>（二）完善抽样过程填报信息，包括被抽样单位（与企业法人库、许可库信息一致）的名称、联系方式及地址、许可证号、抽样时间、抽样人员、抽样产品名称、类别、原产地信息等。</w:t>
            </w:r>
          </w:p>
        </w:tc>
      </w:tr>
      <w:tr>
        <w:tc>
          <w:tcPr>
            <w:tcW w:type="dxa" w:w="2076"/>
          </w:tcPr>
          <w:p/>
        </w:tc>
        <w:tc>
          <w:tcPr>
            <w:tcW w:type="dxa" w:w="415"/>
          </w:tcPr>
          <w:p>
            <w:r>
              <w:rPr/>
              <w:t>9</w:t>
            </w:r>
          </w:p>
        </w:tc>
        <w:tc>
          <w:tcPr>
            <w:tcW w:type="dxa" w:w="5814"/>
          </w:tcPr>
          <w:p>
            <w:pPr>
              <w:jc w:val="both"/>
            </w:pPr>
          </w:p>
          <w:p>
            <w:pPr>
              <w:jc w:val="both"/>
            </w:pPr>
            <w:r>
              <w:rPr>
                <w:sz w:val="21"/>
              </w:rPr>
              <w:t>其他</w:t>
            </w:r>
            <w:r>
              <w:rPr>
                <w:sz w:val="21"/>
              </w:rPr>
              <w:t>技术要求</w:t>
            </w:r>
          </w:p>
          <w:p>
            <w:pPr>
              <w:jc w:val="both"/>
            </w:pPr>
            <w:r>
              <w:rPr>
                <w:sz w:val="21"/>
              </w:rPr>
              <w:t>（一）移动检测车保障能力</w:t>
            </w:r>
          </w:p>
          <w:p>
            <w:pPr>
              <w:jc w:val="both"/>
            </w:pPr>
            <w:r>
              <w:rPr>
                <w:sz w:val="21"/>
              </w:rPr>
              <w:t>服务期内，采购人可向中标人提供</w:t>
            </w:r>
            <w:r>
              <w:rPr>
                <w:sz w:val="21"/>
              </w:rPr>
              <w:t>2</w:t>
            </w:r>
            <w:r>
              <w:rPr>
                <w:sz w:val="21"/>
              </w:rPr>
              <w:t>台移动检测车用于完成本项目任务，为保证项目的正常运行，中标人应根据任务需要适当增加移动检测车的数量配置，强化移动检测车的保障能力。项目服务期间车辆的养路费、保险费、燃油费、保养维</w:t>
            </w:r>
            <w:r>
              <w:rPr>
                <w:sz w:val="21"/>
              </w:rPr>
              <w:t>修费，所有检测设备设施的计量检定费、维修保养费、清洁费，检测废水废物处理费等由中标人全部承担。</w:t>
            </w:r>
          </w:p>
          <w:p>
            <w:pPr>
              <w:jc w:val="both"/>
            </w:pPr>
            <w:r>
              <w:rPr>
                <w:sz w:val="21"/>
              </w:rPr>
              <w:t>投入本项目移动检测车的基本要求（包括但不限于）：移动检测车长度不小于</w:t>
            </w:r>
            <w:r>
              <w:rPr>
                <w:sz w:val="21"/>
              </w:rPr>
              <w:t>4.8</w:t>
            </w:r>
            <w:r>
              <w:rPr>
                <w:sz w:val="21"/>
              </w:rPr>
              <w:t>米，改装后保留</w:t>
            </w:r>
            <w:r>
              <w:rPr>
                <w:sz w:val="21"/>
              </w:rPr>
              <w:t>4</w:t>
            </w:r>
            <w:r>
              <w:rPr>
                <w:sz w:val="21"/>
              </w:rPr>
              <w:t>个乘员座，后部检测设备均为便携结构，放置在车后部，平时巡回穿梭在抽检现场，部分设备可以在现场采用小型仪器检测提取快速检测结果。改装后具有以下特点：</w:t>
            </w:r>
          </w:p>
          <w:p>
            <w:pPr>
              <w:jc w:val="both"/>
            </w:pPr>
            <w:r>
              <w:rPr>
                <w:sz w:val="21"/>
              </w:rPr>
              <w:t>1</w:t>
            </w:r>
            <w:r>
              <w:rPr>
                <w:sz w:val="21"/>
              </w:rPr>
              <w:t>、具有流动实验室功能，能完成多项常规食品理化检测；</w:t>
            </w:r>
          </w:p>
          <w:p>
            <w:pPr>
              <w:jc w:val="both"/>
            </w:pPr>
            <w:r>
              <w:rPr>
                <w:sz w:val="21"/>
              </w:rPr>
              <w:t>2</w:t>
            </w:r>
            <w:r>
              <w:rPr>
                <w:sz w:val="21"/>
              </w:rPr>
              <w:t>、安装便携式食品安全快速检测箱，提高食品快速检测的质量；</w:t>
            </w:r>
          </w:p>
          <w:p>
            <w:pPr>
              <w:jc w:val="both"/>
            </w:pPr>
            <w:r>
              <w:rPr>
                <w:sz w:val="21"/>
              </w:rPr>
              <w:t>3</w:t>
            </w:r>
            <w:r>
              <w:rPr>
                <w:sz w:val="21"/>
              </w:rPr>
              <w:t>、优异的机动能力，能够适应绝大多数的道路状况；</w:t>
            </w:r>
          </w:p>
          <w:p>
            <w:pPr>
              <w:jc w:val="both"/>
            </w:pPr>
            <w:r>
              <w:rPr>
                <w:sz w:val="21"/>
              </w:rPr>
              <w:t>4</w:t>
            </w:r>
            <w:r>
              <w:rPr>
                <w:sz w:val="21"/>
              </w:rPr>
              <w:t>、具有监控、通讯传输功能，可进行现场取证、笔录、实时监控和远程传输；</w:t>
            </w:r>
          </w:p>
          <w:p>
            <w:pPr>
              <w:jc w:val="both"/>
            </w:pPr>
            <w:r>
              <w:rPr>
                <w:sz w:val="21"/>
              </w:rPr>
              <w:t>5</w:t>
            </w:r>
            <w:r>
              <w:rPr>
                <w:sz w:val="21"/>
              </w:rPr>
              <w:t>、车载设备布局在后座，含电源和检测设备，保留前</w:t>
            </w:r>
            <w:r>
              <w:rPr>
                <w:sz w:val="21"/>
              </w:rPr>
              <w:t>2</w:t>
            </w:r>
            <w:r>
              <w:rPr>
                <w:sz w:val="21"/>
              </w:rPr>
              <w:t>排座椅，</w:t>
            </w:r>
            <w:r>
              <w:rPr>
                <w:sz w:val="21"/>
              </w:rPr>
              <w:t>4</w:t>
            </w:r>
            <w:r>
              <w:rPr>
                <w:sz w:val="21"/>
              </w:rPr>
              <w:t>人，其他位置可以布局设备，定制便携组合仪器箱，平时把这些检测仪器放进箱子内，可以安放多个小型仪器，箱子自带可以开启和关闭的操作平台，箱子固定在车内后，可打开后可以变成仪器操作台面；要求不锈钢或铝合金包边，防水轻便材料制作，箱子可以手提和地面滑动</w:t>
            </w:r>
            <w:r>
              <w:rPr>
                <w:sz w:val="21"/>
              </w:rPr>
              <w:t>;</w:t>
            </w:r>
            <w:r>
              <w:rPr>
                <w:sz w:val="21"/>
              </w:rPr>
              <w:t>内部仪器必须有良好避震；</w:t>
            </w:r>
          </w:p>
          <w:p>
            <w:pPr>
              <w:jc w:val="both"/>
            </w:pPr>
            <w:r>
              <w:rPr>
                <w:sz w:val="21"/>
              </w:rPr>
              <w:t>6</w:t>
            </w:r>
            <w:r>
              <w:rPr>
                <w:sz w:val="21"/>
              </w:rPr>
              <w:t>、电源系统，考虑便携储能系统作为主用电源，整车可以采用市电、储能系统</w:t>
            </w:r>
            <w:r>
              <w:rPr>
                <w:sz w:val="21"/>
              </w:rPr>
              <w:t>2</w:t>
            </w:r>
            <w:r>
              <w:rPr>
                <w:sz w:val="21"/>
              </w:rPr>
              <w:t>路电源保障该车的作业用电；安装车载综合电源输出插座板，内含有漏电保护、过载保护等功能，配套多路插座等，确保各路电源安全使用；</w:t>
            </w:r>
          </w:p>
          <w:p>
            <w:pPr>
              <w:jc w:val="both"/>
            </w:pPr>
            <w:r>
              <w:rPr>
                <w:sz w:val="21"/>
              </w:rPr>
              <w:t>7</w:t>
            </w:r>
            <w:r>
              <w:rPr>
                <w:sz w:val="21"/>
              </w:rPr>
              <w:t>、为确保承载仪器箱子的位置不变形，地板需要在原来的基础加装反方复合防水汽车地板再铺铝合金花纹板，要求该板活动可以拆卸，确保车内设备布局合理，重心分布合理；</w:t>
            </w:r>
          </w:p>
          <w:p>
            <w:pPr>
              <w:jc w:val="both"/>
            </w:pPr>
            <w:r>
              <w:rPr>
                <w:sz w:val="21"/>
              </w:rPr>
              <w:t>（二）每台快检车需配备的设备（包括检测仪器、辅助器具、冷藏冷冻设备、前处理设备、办公设备等）数量和质量性能应满足检测工作任务的需要。</w:t>
            </w:r>
          </w:p>
          <w:p>
            <w:pPr>
              <w:jc w:val="both"/>
            </w:pPr>
            <w:r>
              <w:rPr>
                <w:sz w:val="21"/>
              </w:rPr>
              <w:t>（三）每台移动检测车（快检车）需配置至少</w:t>
            </w:r>
            <w:r>
              <w:rPr>
                <w:sz w:val="21"/>
              </w:rPr>
              <w:t>2</w:t>
            </w:r>
            <w:r>
              <w:rPr>
                <w:sz w:val="21"/>
              </w:rPr>
              <w:t>名检测人员。所有检测人员需经过培训并考核合格，持证上岗。中标人应加强对快检车日常食用农产品快检工作的监管及考核。定期针对采购和使用试剂产品的出入库台账记录、每月快检任务完成情况、快检操作流程、抽样和结果原始记录、检测结果上报及公示等进行督查和考核，确保快检工作质量。</w:t>
            </w:r>
          </w:p>
          <w:p>
            <w:pPr>
              <w:jc w:val="both"/>
            </w:pPr>
            <w:r>
              <w:rPr>
                <w:sz w:val="21"/>
              </w:rPr>
              <w:t>（四）项目履行期间，广东省市场监督管理局、佛山市市场监督管理局快检文件规定有更新的，中标人应按广东省市场监督管理局、佛山市市场监督管理局最新要求执行。</w:t>
            </w:r>
          </w:p>
          <w:p>
            <w:pPr>
              <w:jc w:val="both"/>
            </w:pPr>
            <w:r>
              <w:rPr>
                <w:sz w:val="21"/>
              </w:rPr>
              <w:t>（五）平台的情况反馈：快检平台出现问题时及时反馈给采购人。</w:t>
            </w:r>
          </w:p>
          <w:p>
            <w:pPr>
              <w:jc w:val="both"/>
            </w:pPr>
            <w:r>
              <w:rPr>
                <w:sz w:val="21"/>
              </w:rPr>
              <w:t>（六）其他根据工作提出的服务技术要求：如食品安全宣传活动中的咨询、检测、宣讲等服务；新闻发布、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p>
            <w:pPr>
              <w:jc w:val="both"/>
            </w:pPr>
          </w:p>
        </w:tc>
      </w:tr>
      <w:tr>
        <w:tc>
          <w:tcPr>
            <w:tcW w:type="dxa" w:w="2076"/>
          </w:tcPr>
          <w:p/>
        </w:tc>
        <w:tc>
          <w:tcPr>
            <w:tcW w:type="dxa" w:w="415"/>
          </w:tcPr>
          <w:p>
            <w:r>
              <w:rPr/>
              <w:t>10</w:t>
            </w:r>
          </w:p>
        </w:tc>
        <w:tc>
          <w:tcPr>
            <w:tcW w:type="dxa" w:w="5814"/>
          </w:tcPr>
          <w:p>
            <w:pPr>
              <w:jc w:val="both"/>
            </w:pPr>
          </w:p>
          <w:p>
            <w:pPr>
              <w:jc w:val="both"/>
            </w:pPr>
          </w:p>
          <w:p>
            <w:pPr>
              <w:jc w:val="both"/>
            </w:pPr>
            <w:r>
              <w:rPr>
                <w:sz w:val="21"/>
              </w:rPr>
              <w:t>组织管理</w:t>
            </w:r>
          </w:p>
          <w:p>
            <w:pPr>
              <w:jc w:val="both"/>
            </w:pPr>
            <w:r>
              <w:rPr>
                <w:sz w:val="21"/>
              </w:rPr>
              <w:t>（一）快检实验室应有明确的组织架构和管理结构，其职能是通过检测及快速筛查手段，对流通环节食用农产品的质量安全进行监督。应具有必要的场地、人员、设施设备等条件，以保障检测工作的正常运行。制定相应的管理体系，包括其检验室职能、岗位职责、年度及月度抽样检测计划等。工作制度和检测质量控制制度，包括仪器管理制度、标准物质及试剂耗材管理制度、抽样程序、检测流程、检验项目操作程序、检测结果处理流程、检测记录管理制度等。</w:t>
            </w:r>
          </w:p>
          <w:p>
            <w:pPr>
              <w:jc w:val="both"/>
            </w:pPr>
            <w:r>
              <w:rPr>
                <w:sz w:val="21"/>
              </w:rPr>
              <w:t>（二）为确保中标人检测工作的诚信管理、质量稳定、人员安全、生产安全、商业合规等，中标人需尽可能的取得其他综合性的管理体系认证，如：质量管理体系、职业健康安全管理体系、</w:t>
            </w:r>
            <w:r>
              <w:rPr>
                <w:sz w:val="21"/>
              </w:rPr>
              <w:t>环境管理体系认证证书</w:t>
            </w:r>
            <w:r>
              <w:rPr>
                <w:sz w:val="21"/>
              </w:rPr>
              <w:t>等认证证书。</w:t>
            </w:r>
          </w:p>
          <w:p>
            <w:pPr>
              <w:jc w:val="both"/>
            </w:pPr>
          </w:p>
          <w:p>
            <w:pPr>
              <w:jc w:val="both"/>
            </w:pPr>
          </w:p>
        </w:tc>
      </w:tr>
      <w:tr>
        <w:tc>
          <w:tcPr>
            <w:tcW w:type="dxa" w:w="2076"/>
          </w:tcPr>
          <w:p/>
        </w:tc>
        <w:tc>
          <w:tcPr>
            <w:tcW w:type="dxa" w:w="415"/>
          </w:tcPr>
          <w:p>
            <w:r>
              <w:rPr/>
              <w:t>11</w:t>
            </w:r>
          </w:p>
        </w:tc>
        <w:tc>
          <w:tcPr>
            <w:tcW w:type="dxa" w:w="5814"/>
          </w:tcPr>
          <w:p>
            <w:pPr>
              <w:jc w:val="both"/>
            </w:pPr>
          </w:p>
          <w:p>
            <w:pPr>
              <w:jc w:val="both"/>
            </w:pPr>
            <w:r>
              <w:rPr>
                <w:sz w:val="21"/>
              </w:rPr>
              <w:t>设施与环境</w:t>
            </w:r>
          </w:p>
          <w:p>
            <w:pPr>
              <w:jc w:val="both"/>
            </w:pPr>
            <w:r>
              <w:rPr>
                <w:sz w:val="21"/>
              </w:rPr>
              <w:t>中标人应具备独立的工作场所，并应根据市场销售的可食用农产品种类，配备包括处理、检测、保存、废弃物处理、数据处理、信息传输等设施和设备。检测场所的温湿度应满足检测方法的要求，同时又要防止交叉污染、保证检测员的身体健康。具备水、电、气、照明、通风、通讯、网络及安全应急等基础设施，还应配备防水、防火、防腐蚀、耐热及易清洗等条件的实验台。移动检测车（快检车）车内应保持良好的清洁及整齐度。</w:t>
            </w:r>
          </w:p>
          <w:p>
            <w:pPr>
              <w:jc w:val="both"/>
            </w:pPr>
          </w:p>
        </w:tc>
      </w:tr>
      <w:tr>
        <w:tc>
          <w:tcPr>
            <w:tcW w:type="dxa" w:w="2076"/>
          </w:tcPr>
          <w:p/>
        </w:tc>
        <w:tc>
          <w:tcPr>
            <w:tcW w:type="dxa" w:w="415"/>
          </w:tcPr>
          <w:p>
            <w:r>
              <w:rPr/>
              <w:t>12</w:t>
            </w:r>
          </w:p>
        </w:tc>
        <w:tc>
          <w:tcPr>
            <w:tcW w:type="dxa" w:w="5814"/>
          </w:tcPr>
          <w:p>
            <w:pPr>
              <w:jc w:val="both"/>
            </w:pPr>
            <w:r>
              <w:rPr>
                <w:sz w:val="21"/>
              </w:rPr>
              <w:t>设施与设备</w:t>
            </w:r>
          </w:p>
          <w:p>
            <w:pPr>
              <w:jc w:val="both"/>
            </w:pPr>
            <w:r>
              <w:rPr>
                <w:sz w:val="21"/>
              </w:rPr>
              <w:t>（一）</w:t>
            </w:r>
            <w:r>
              <w:rPr>
                <w:sz w:val="21"/>
              </w:rPr>
              <w:t>中标人</w:t>
            </w:r>
            <w:r>
              <w:rPr>
                <w:sz w:val="21"/>
              </w:rPr>
              <w:t>应配备对经营农产品安全质量指标进行检测及快速筛查的仪器设备，保存试剂或样品的冷藏冷冻设备，以及必要的辅助器具（水浴锅、离心机、固相萃取装置、氮吹</w:t>
            </w:r>
            <w:r>
              <w:rPr>
                <w:sz w:val="21"/>
              </w:rPr>
              <w:t>/</w:t>
            </w:r>
            <w:r>
              <w:rPr>
                <w:sz w:val="21"/>
              </w:rPr>
              <w:t>空吹仪等）。中标人配备的设备（包括检测仪器、辅助器具、冷藏冷冻设备、前处理设备、办公设备等）数量和质量性能应满足检测工作任务的需要。</w:t>
            </w:r>
          </w:p>
          <w:p>
            <w:pPr>
              <w:jc w:val="both"/>
            </w:pPr>
            <w:r>
              <w:rPr>
                <w:sz w:val="21"/>
              </w:rPr>
              <w:t>（二）为防范市场销售注水生鲜肉等违法违规行为，在项目服务期间，中标人还需为每台快检车分别配备</w:t>
            </w:r>
            <w:r>
              <w:rPr>
                <w:sz w:val="21"/>
              </w:rPr>
              <w:t>1</w:t>
            </w:r>
            <w:r>
              <w:rPr>
                <w:sz w:val="21"/>
              </w:rPr>
              <w:t>台符合相关检测标准要求的肉类水分快速检测仪器。中标人应将检测设备送有相关资质的计量检定校准机构进行校准达到使用标准后，方可使用；仪器维护保养、检定校准，要形成相关记录，建立仪器设备档案。仪器设备还应具有相应的使用记录，如记录仪器的使用者、是否正常、检定校准、维护保养情况等；且检测设备参数设置与所开展项目要求符合。当仪器出现故障或发生异常时，应立即停止使用，直至故障排除并通过检定或校准表明其能正常工作，方可投入使用。</w:t>
            </w:r>
          </w:p>
        </w:tc>
      </w:tr>
      <w:tr>
        <w:tc>
          <w:tcPr>
            <w:tcW w:type="dxa" w:w="2076"/>
          </w:tcPr>
          <w:p/>
        </w:tc>
        <w:tc>
          <w:tcPr>
            <w:tcW w:type="dxa" w:w="415"/>
          </w:tcPr>
          <w:p>
            <w:r>
              <w:rPr/>
              <w:t>13</w:t>
            </w:r>
          </w:p>
        </w:tc>
        <w:tc>
          <w:tcPr>
            <w:tcW w:type="dxa" w:w="5814"/>
          </w:tcPr>
          <w:p>
            <w:pPr>
              <w:jc w:val="both"/>
            </w:pPr>
            <w:r>
              <w:rPr>
                <w:sz w:val="21"/>
              </w:rPr>
              <w:t>技术培训</w:t>
            </w:r>
          </w:p>
          <w:p>
            <w:pPr>
              <w:jc w:val="both"/>
            </w:pPr>
            <w:r>
              <w:rPr>
                <w:sz w:val="21"/>
              </w:rPr>
              <w:t>（一）中标人应对政府快检室和快检车的检测人员及集中交易市场的市场自建实验室的检测人员开展快检培训，确保快检人员熟练掌握快检操作技能，顺利完成快检任务。</w:t>
            </w:r>
          </w:p>
          <w:p>
            <w:pPr>
              <w:jc w:val="both"/>
            </w:pPr>
            <w:r>
              <w:rPr>
                <w:sz w:val="21"/>
              </w:rPr>
              <w:t>（二）建立快检培训和考核档案，经培训考核合格后，发放资格证，持证上岗。其中，对政府快检室和快检车的现有快检人员或新进快检人员应进行不少于</w:t>
            </w:r>
            <w:r>
              <w:rPr>
                <w:sz w:val="21"/>
              </w:rPr>
              <w:t>5</w:t>
            </w:r>
            <w:r>
              <w:rPr>
                <w:sz w:val="21"/>
              </w:rPr>
              <w:t>小时的技术培训；中标人进行技术培训的内容包括但不限于：</w:t>
            </w:r>
          </w:p>
          <w:p>
            <w:pPr>
              <w:jc w:val="both"/>
            </w:pPr>
            <w:r>
              <w:rPr>
                <w:sz w:val="21"/>
              </w:rPr>
              <w:t>1</w:t>
            </w:r>
            <w:r>
              <w:rPr>
                <w:sz w:val="21"/>
              </w:rPr>
              <w:t>、采购人制定相关快检工作文件的培训以及食品安全知识的培训；</w:t>
            </w:r>
          </w:p>
          <w:p>
            <w:pPr>
              <w:jc w:val="both"/>
            </w:pPr>
            <w:r>
              <w:rPr>
                <w:sz w:val="21"/>
              </w:rPr>
              <w:t>2</w:t>
            </w:r>
            <w:r>
              <w:rPr>
                <w:sz w:val="21"/>
              </w:rPr>
              <w:t>、快检设备设施（包括移液器）的使用与维护；</w:t>
            </w:r>
          </w:p>
          <w:p>
            <w:pPr>
              <w:jc w:val="both"/>
            </w:pPr>
            <w:r>
              <w:rPr>
                <w:sz w:val="21"/>
              </w:rPr>
              <w:t>3</w:t>
            </w:r>
            <w:r>
              <w:rPr>
                <w:sz w:val="21"/>
              </w:rPr>
              <w:t>、快检试剂盒说明书内容的培训，包括称样、震荡摇匀、离心、结果判读等操作步骤的培训；</w:t>
            </w:r>
          </w:p>
          <w:p>
            <w:pPr>
              <w:jc w:val="both"/>
            </w:pPr>
            <w:r>
              <w:rPr>
                <w:sz w:val="21"/>
              </w:rPr>
              <w:t>4</w:t>
            </w:r>
            <w:r>
              <w:rPr>
                <w:sz w:val="21"/>
              </w:rPr>
              <w:t>、快检试剂产品的管理、使用等培训；</w:t>
            </w:r>
          </w:p>
          <w:p>
            <w:pPr>
              <w:jc w:val="both"/>
            </w:pPr>
            <w:r>
              <w:rPr>
                <w:sz w:val="21"/>
              </w:rPr>
              <w:t>5</w:t>
            </w:r>
            <w:r>
              <w:rPr>
                <w:sz w:val="21"/>
              </w:rPr>
              <w:t>、快检信息管理系统的使用；</w:t>
            </w:r>
          </w:p>
          <w:p>
            <w:pPr>
              <w:jc w:val="both"/>
            </w:pPr>
            <w:r>
              <w:rPr>
                <w:sz w:val="21"/>
              </w:rPr>
              <w:t>6</w:t>
            </w:r>
            <w:r>
              <w:rPr>
                <w:sz w:val="21"/>
              </w:rPr>
              <w:t>、档案管理和原始数据管理等方面的培训；</w:t>
            </w:r>
          </w:p>
          <w:p>
            <w:pPr>
              <w:jc w:val="both"/>
            </w:pPr>
            <w:r>
              <w:rPr>
                <w:sz w:val="21"/>
              </w:rPr>
              <w:t>7</w:t>
            </w:r>
            <w:r>
              <w:rPr>
                <w:sz w:val="21"/>
              </w:rPr>
              <w:t>、解决快检技术难题的培训。</w:t>
            </w:r>
          </w:p>
        </w:tc>
      </w:tr>
      <w:tr>
        <w:tc>
          <w:tcPr>
            <w:tcW w:type="dxa" w:w="2076"/>
          </w:tcPr>
          <w:p/>
        </w:tc>
        <w:tc>
          <w:tcPr>
            <w:tcW w:type="dxa" w:w="415"/>
          </w:tcPr>
          <w:p>
            <w:r>
              <w:rPr/>
              <w:t>14</w:t>
            </w:r>
          </w:p>
        </w:tc>
        <w:tc>
          <w:tcPr>
            <w:tcW w:type="dxa" w:w="5814"/>
          </w:tcPr>
          <w:p>
            <w:pPr>
              <w:jc w:val="both"/>
            </w:pPr>
            <w:r>
              <w:rPr>
                <w:sz w:val="21"/>
              </w:rPr>
              <w:t>检验工作流程</w:t>
            </w:r>
          </w:p>
          <w:p>
            <w:pPr>
              <w:jc w:val="both"/>
            </w:pPr>
            <w:r>
              <w:rPr>
                <w:sz w:val="21"/>
              </w:rPr>
              <w:t>（一）快检实验室应具备食用农产品快检的检测能力。其检测项目、样品覆盖率及检测频率应与市场销售的品种及数量相适应，并接受当地部门的监督指导。对于出现误差率较高的食用农产品品种和检验项目及时纠正并上报。检测人员应按照规定的抽样程序和相关要求进行抽样，并填写抽样单。确保样品在整个检测过程中有唯一的编号和状态标识，以避免在传递过程中被混淆。检测方法必须现行有效，如出现结果不合格时，应进行复检；结果出现异议时，应送法检进行确认。通过实验室管理系统生成的样本编号及相关样品信息（包括被检单位名称、抽样时间、抽样人员、抽样产品名称、类别、原产地信息、快检阳性报告等）作为复检的依据，法检复检的结果通过样本编号进行对应匹配，以便跟踪。</w:t>
            </w:r>
          </w:p>
          <w:p>
            <w:pPr>
              <w:jc w:val="both"/>
            </w:pPr>
            <w:r>
              <w:rPr>
                <w:sz w:val="21"/>
              </w:rPr>
              <w:t>（二）原始记录应清晰、真实、准确、及时、完整。检测报告应准确、清晰、明确、客观地报告每一项检测结果。检验报告和检测记录的填写和修改应规范，划改规范，修改后的原字迹清晰可辨，并有修改人的签字或盖章。检测人员和审核人员原则上不得为同一人。检测后的样品至少保留</w:t>
            </w:r>
            <w:r>
              <w:rPr>
                <w:sz w:val="21"/>
              </w:rPr>
              <w:t>48</w:t>
            </w:r>
            <w:r>
              <w:rPr>
                <w:sz w:val="21"/>
              </w:rPr>
              <w:t>小时，阳性样品保存至后续处置结束，阳性复检备份样品应按规定条件保存并进行监控和记录。检测报告、原始记录归档，保留两年。</w:t>
            </w:r>
          </w:p>
        </w:tc>
      </w:tr>
      <w:tr>
        <w:tc>
          <w:tcPr>
            <w:tcW w:type="dxa" w:w="2076"/>
          </w:tcPr>
          <w:p/>
        </w:tc>
        <w:tc>
          <w:tcPr>
            <w:tcW w:type="dxa" w:w="415"/>
          </w:tcPr>
          <w:p>
            <w:r>
              <w:rPr/>
              <w:t>15</w:t>
            </w:r>
          </w:p>
        </w:tc>
        <w:tc>
          <w:tcPr>
            <w:tcW w:type="dxa" w:w="5814"/>
          </w:tcPr>
          <w:p>
            <w:pPr>
              <w:jc w:val="both"/>
            </w:pPr>
            <w:r>
              <w:rPr>
                <w:sz w:val="21"/>
              </w:rPr>
              <w:t>监督管理</w:t>
            </w:r>
          </w:p>
          <w:p>
            <w:pPr>
              <w:jc w:val="both"/>
            </w:pPr>
            <w:r>
              <w:rPr>
                <w:sz w:val="21"/>
              </w:rPr>
              <w:t>（一）定期自查自纠</w:t>
            </w:r>
          </w:p>
          <w:p>
            <w:pPr>
              <w:jc w:val="both"/>
            </w:pPr>
            <w:r>
              <w:rPr>
                <w:sz w:val="21"/>
              </w:rPr>
              <w:t>中标人作为项目工作质量的第一责任人，应该认真履行快检质量管理责任，每月针对</w:t>
            </w:r>
            <w:r>
              <w:rPr>
                <w:sz w:val="21"/>
              </w:rPr>
              <w:t>5</w:t>
            </w:r>
            <w:r>
              <w:rPr>
                <w:sz w:val="21"/>
              </w:rPr>
              <w:t>个镇街政府快检实验室（含</w:t>
            </w:r>
            <w:r>
              <w:rPr>
                <w:sz w:val="21"/>
              </w:rPr>
              <w:t>1</w:t>
            </w:r>
            <w:r>
              <w:rPr>
                <w:sz w:val="21"/>
              </w:rPr>
              <w:t>个批发市场驻场检测点）及</w:t>
            </w:r>
            <w:r>
              <w:rPr>
                <w:sz w:val="21"/>
              </w:rPr>
              <w:t>2</w:t>
            </w:r>
            <w:r>
              <w:rPr>
                <w:sz w:val="21"/>
              </w:rPr>
              <w:t>台移动检测车的快检任务完成情况、试剂购买存储与验收情况、抽样品种及覆盖率、不合格产品发现率、快检人员操作熟练程度及规范性、快检抽样和结果原始记录、检测结果上报及公示、实验室管理等认真开展自查自纠，制定并实行内部奖惩制度和措施。于每月</w:t>
            </w:r>
            <w:r>
              <w:rPr>
                <w:sz w:val="21"/>
              </w:rPr>
              <w:t>25</w:t>
            </w:r>
            <w:r>
              <w:rPr>
                <w:sz w:val="21"/>
              </w:rPr>
              <w:t>日前将检查及检查情况总结、原始检查记录表、现场检查图片等报送采购人。</w:t>
            </w:r>
          </w:p>
          <w:p>
            <w:pPr>
              <w:jc w:val="both"/>
            </w:pPr>
            <w:r>
              <w:rPr>
                <w:sz w:val="21"/>
              </w:rPr>
              <w:t>（二）日常监督检查</w:t>
            </w:r>
          </w:p>
          <w:p>
            <w:pPr>
              <w:jc w:val="both"/>
            </w:pPr>
            <w:r>
              <w:rPr>
                <w:sz w:val="21"/>
              </w:rPr>
              <w:t>佛山市顺德区各镇街市场监督管理所负责所在地镇街政府快检室日常运作的监督检查，每月至少对辖区政府快检室开展</w:t>
            </w:r>
            <w:r>
              <w:rPr>
                <w:sz w:val="21"/>
              </w:rPr>
              <w:t>1</w:t>
            </w:r>
            <w:r>
              <w:rPr>
                <w:sz w:val="21"/>
              </w:rPr>
              <w:t>次监督检查工作，并于每月</w:t>
            </w:r>
            <w:r>
              <w:rPr>
                <w:sz w:val="21"/>
              </w:rPr>
              <w:t>28</w:t>
            </w:r>
            <w:r>
              <w:rPr>
                <w:sz w:val="21"/>
              </w:rPr>
              <w:t>日前报送当月监督检查情况。采购人负责对移动检测车的运作情况开展监督检查。采购人及佛山市顺德区各镇街市场监督管理所根据工作两级分工，对照广东省市场监督管理局下发的《农贸市场食用农产品快检工作监督评价表》进行逐一检查，重点检查各政府快检实验室和移动检测车试剂产品采购和使用情况、快检任务完成情况、快检人员培训情况、快检数据原始记录及上传、不合格产品处理、检测结果公示等内容。</w:t>
            </w:r>
          </w:p>
          <w:p>
            <w:pPr>
              <w:jc w:val="both"/>
            </w:pPr>
            <w:r>
              <w:rPr>
                <w:sz w:val="21"/>
              </w:rPr>
              <w:t>（三）飞行检查考核</w:t>
            </w:r>
          </w:p>
          <w:p>
            <w:pPr>
              <w:jc w:val="both"/>
            </w:pPr>
            <w:r>
              <w:rPr>
                <w:sz w:val="21"/>
              </w:rPr>
              <w:t>采购人全年对所有参加快检市场至少检查</w:t>
            </w:r>
            <w:r>
              <w:rPr>
                <w:sz w:val="21"/>
              </w:rPr>
              <w:t>2</w:t>
            </w:r>
            <w:r>
              <w:rPr>
                <w:sz w:val="21"/>
              </w:rPr>
              <w:t>次并形成记录，重点围绕以下几个方面开展：使用的快检试剂是否经过评价且符合要求；快检试剂出入库台账及存储情况（包括名称、厂家、数量、批号、日期等）；快检任务量的完成情况</w:t>
            </w:r>
            <w:r>
              <w:rPr>
                <w:sz w:val="21"/>
              </w:rPr>
              <w:t>(</w:t>
            </w:r>
            <w:r>
              <w:rPr>
                <w:sz w:val="21"/>
              </w:rPr>
              <w:t>总任务量、水产品检测任务量、蔬菜胶体金法检测任务量、重点品种检测任务量等）；快检检测项目开展、快检检测设备及辅助设备的配备、快检抽样和结果原始记录、检测结果上报及公示和快检不合格样品的处理等情况；快检人员资质</w:t>
            </w:r>
            <w:r>
              <w:rPr>
                <w:sz w:val="21"/>
              </w:rPr>
              <w:t>(</w:t>
            </w:r>
            <w:r>
              <w:rPr>
                <w:sz w:val="21"/>
              </w:rPr>
              <w:t>快检人员是否经过培训考核和持证上岗</w:t>
            </w:r>
            <w:r>
              <w:rPr>
                <w:sz w:val="21"/>
              </w:rPr>
              <w:t>)</w:t>
            </w:r>
            <w:r>
              <w:rPr>
                <w:sz w:val="21"/>
              </w:rPr>
              <w:t>、配置情况等。</w:t>
            </w:r>
          </w:p>
          <w:p>
            <w:pPr>
              <w:jc w:val="both"/>
            </w:pPr>
            <w:r>
              <w:rPr>
                <w:sz w:val="21"/>
              </w:rPr>
              <w:t>（四）召开分析会议</w:t>
            </w:r>
          </w:p>
          <w:p>
            <w:pPr>
              <w:jc w:val="both"/>
            </w:pPr>
            <w:r>
              <w:rPr>
                <w:sz w:val="21"/>
              </w:rPr>
              <w:t>根据检查情况，</w:t>
            </w:r>
            <w:r>
              <w:rPr>
                <w:sz w:val="21"/>
              </w:rPr>
              <w:t>中标人</w:t>
            </w:r>
            <w:r>
              <w:rPr>
                <w:sz w:val="21"/>
              </w:rPr>
              <w:t>不定期组织召开快检质量分析会议，针对监督检查发现的问题，分析原因、制定措施、落实整改，进一步规范快检工作，提升快检工作质量和成效。</w:t>
            </w:r>
          </w:p>
        </w:tc>
      </w:tr>
      <w:tr>
        <w:tc>
          <w:tcPr>
            <w:tcW w:type="dxa" w:w="2076"/>
          </w:tcPr>
          <w:p/>
        </w:tc>
        <w:tc>
          <w:tcPr>
            <w:tcW w:type="dxa" w:w="415"/>
          </w:tcPr>
          <w:p>
            <w:r>
              <w:rPr/>
              <w:t>16</w:t>
            </w:r>
          </w:p>
        </w:tc>
        <w:tc>
          <w:tcPr>
            <w:tcW w:type="dxa" w:w="5814"/>
          </w:tcPr>
          <w:p>
            <w:pPr>
              <w:jc w:val="both"/>
            </w:pPr>
            <w:r>
              <w:rPr>
                <w:sz w:val="21"/>
              </w:rPr>
              <w:t>质量控制</w:t>
            </w:r>
          </w:p>
          <w:p>
            <w:pPr>
              <w:jc w:val="both"/>
            </w:pPr>
            <w:r>
              <w:rPr>
                <w:sz w:val="21"/>
              </w:rPr>
              <w:t>质量控制是得到准确快检结果的重要保障。快检实验客观存在一定的质量风险</w:t>
            </w:r>
            <w:r>
              <w:rPr>
                <w:sz w:val="21"/>
              </w:rPr>
              <w:t>，</w:t>
            </w:r>
            <w:r>
              <w:rPr>
                <w:sz w:val="21"/>
              </w:rPr>
              <w:t>某一环节的疏忽有可能导致结果不准确，检测质量无法保证，因此需要采取合适的质量控制手段以及时发现问题</w:t>
            </w:r>
            <w:r>
              <w:rPr>
                <w:sz w:val="21"/>
              </w:rPr>
              <w:t>，</w:t>
            </w:r>
            <w:r>
              <w:rPr>
                <w:sz w:val="21"/>
              </w:rPr>
              <w:t>保证结果的准确性。中标人需有完善的质量控制制度文件并制定相应的质控计划。规范实验室试剂、设备、样品管理，对快检产品进行验收，开展空白样</w:t>
            </w:r>
            <w:r>
              <w:rPr>
                <w:sz w:val="21"/>
              </w:rPr>
              <w:t>/</w:t>
            </w:r>
            <w:r>
              <w:rPr>
                <w:sz w:val="21"/>
              </w:rPr>
              <w:t>加标样的验证；规范原始记录填写；加强人员培训，强化快检人员质量控制意识；规范抽样及检测过程等。</w:t>
            </w:r>
          </w:p>
        </w:tc>
      </w:tr>
      <w:tr>
        <w:tc>
          <w:tcPr>
            <w:tcW w:type="dxa" w:w="2076"/>
          </w:tcPr>
          <w:p/>
        </w:tc>
        <w:tc>
          <w:tcPr>
            <w:tcW w:type="dxa" w:w="415"/>
          </w:tcPr>
          <w:p>
            <w:r>
              <w:rPr/>
              <w:t>17</w:t>
            </w:r>
          </w:p>
        </w:tc>
        <w:tc>
          <w:tcPr>
            <w:tcW w:type="dxa" w:w="5814"/>
          </w:tcPr>
          <w:p>
            <w:pPr>
              <w:jc w:val="both"/>
            </w:pPr>
            <w:r>
              <w:rPr>
                <w:sz w:val="21"/>
              </w:rPr>
              <w:t>应急服务响应</w:t>
            </w:r>
          </w:p>
          <w:p>
            <w:pPr>
              <w:jc w:val="both"/>
            </w:pPr>
            <w:r>
              <w:rPr>
                <w:sz w:val="21"/>
              </w:rPr>
              <w:t>（一）中标人应设置有专人</w:t>
            </w:r>
            <w:r>
              <w:rPr>
                <w:sz w:val="21"/>
              </w:rPr>
              <w:t>24</w:t>
            </w:r>
            <w:r>
              <w:rPr>
                <w:sz w:val="21"/>
              </w:rPr>
              <w:t>小时接听的移动电话热线，用于解决突发应急问题。</w:t>
            </w:r>
          </w:p>
          <w:p>
            <w:pPr>
              <w:jc w:val="both"/>
            </w:pPr>
            <w:r>
              <w:rPr>
                <w:sz w:val="21"/>
              </w:rPr>
              <w:t>（二）</w:t>
            </w:r>
            <w:r>
              <w:rPr>
                <w:sz w:val="21"/>
              </w:rPr>
              <w:t>★</w:t>
            </w:r>
            <w:r>
              <w:rPr>
                <w:sz w:val="21"/>
              </w:rPr>
              <w:t>中标人必须承诺对突发性的食品安全事件提供应急抽样检验及专家技术支持，中标人具备的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号）中附件《</w:t>
            </w:r>
            <w:r>
              <w:rPr>
                <w:sz w:val="21"/>
              </w:rPr>
              <w:t>2023</w:t>
            </w:r>
            <w:r>
              <w:rPr>
                <w:sz w:val="21"/>
              </w:rPr>
              <w:t>年食品安全监督抽检品种、项目表》及《</w:t>
            </w:r>
            <w:r>
              <w:rPr>
                <w:sz w:val="21"/>
              </w:rPr>
              <w:t>2023</w:t>
            </w:r>
            <w:r>
              <w:rPr>
                <w:sz w:val="21"/>
              </w:rPr>
              <w:t>年食用农产品监督抽检品种、项目表》中的检测项目。</w:t>
            </w:r>
          </w:p>
          <w:p>
            <w:pPr>
              <w:jc w:val="both"/>
            </w:pPr>
            <w:r>
              <w:rPr>
                <w:sz w:val="21"/>
              </w:rPr>
              <w:t>（三）其他根据工作提出的服务技术要求：如食品安全宣传活动中的咨询、检测、宣讲等服务；新闻发布、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tc>
      </w:tr>
      <w:tr>
        <w:tc>
          <w:tcPr>
            <w:tcW w:type="dxa" w:w="2076"/>
          </w:tcPr>
          <w:p/>
        </w:tc>
        <w:tc>
          <w:tcPr>
            <w:tcW w:type="dxa" w:w="415"/>
          </w:tcPr>
          <w:p>
            <w:r>
              <w:rPr/>
              <w:t>18</w:t>
            </w:r>
          </w:p>
        </w:tc>
        <w:tc>
          <w:tcPr>
            <w:tcW w:type="dxa" w:w="5814"/>
          </w:tcPr>
          <w:p>
            <w:pPr>
              <w:jc w:val="both"/>
            </w:pPr>
            <w:r>
              <w:rPr>
                <w:sz w:val="21"/>
              </w:rPr>
              <w:t>服务要求</w:t>
            </w:r>
          </w:p>
          <w:p>
            <w:pPr>
              <w:jc w:val="both"/>
            </w:pPr>
            <w:r>
              <w:rPr>
                <w:sz w:val="21"/>
              </w:rPr>
              <w:t>（一）投标人应具备</w:t>
            </w:r>
            <w:r>
              <w:rPr>
                <w:sz w:val="21"/>
              </w:rPr>
              <w:t>快速检测、</w:t>
            </w:r>
            <w:r>
              <w:rPr>
                <w:sz w:val="21"/>
              </w:rPr>
              <w:t>食品安全抽检（如：监督抽检、风险监测、评价性抽检、专项抽检等类型）的能力。</w:t>
            </w:r>
          </w:p>
          <w:p>
            <w:pPr>
              <w:jc w:val="both"/>
            </w:pPr>
            <w:r>
              <w:rPr>
                <w:sz w:val="21"/>
              </w:rPr>
              <w:t>（二）投标人</w:t>
            </w:r>
            <w:r>
              <w:rPr>
                <w:sz w:val="21"/>
              </w:rPr>
              <w:t>需根据</w:t>
            </w:r>
            <w:r>
              <w:rPr>
                <w:sz w:val="21"/>
              </w:rPr>
              <w:t>对本项目的熟悉程度</w:t>
            </w:r>
            <w:r>
              <w:rPr>
                <w:sz w:val="21"/>
              </w:rPr>
              <w:t>提出针对</w:t>
            </w:r>
            <w:r>
              <w:rPr>
                <w:sz w:val="21"/>
              </w:rPr>
              <w:t>本项目的实施方案</w:t>
            </w:r>
            <w:r>
              <w:rPr>
                <w:sz w:val="21"/>
              </w:rPr>
              <w:t>（</w:t>
            </w:r>
            <w:r>
              <w:rPr>
                <w:sz w:val="21"/>
              </w:rPr>
              <w:t>包括</w:t>
            </w:r>
            <w:r>
              <w:rPr>
                <w:sz w:val="21"/>
              </w:rPr>
              <w:t>但不限于</w:t>
            </w:r>
            <w:r>
              <w:rPr>
                <w:sz w:val="21"/>
              </w:rPr>
              <w:t>工作方法、抽检工作采抽样人员培训考核方案、设施设备与试剂耗材管理、样品保存及运输方案、质量控制措施方法、预防性管理方法等项目内容</w:t>
            </w:r>
            <w:r>
              <w:rPr>
                <w:sz w:val="21"/>
              </w:rPr>
              <w:t>，</w:t>
            </w:r>
            <w:r>
              <w:rPr>
                <w:sz w:val="21"/>
              </w:rPr>
              <w:t>应急抽检、专项抽检实施方案</w:t>
            </w:r>
            <w:r>
              <w:rPr>
                <w:sz w:val="21"/>
              </w:rPr>
              <w:t>），配备满足项目要求的</w:t>
            </w:r>
            <w:r>
              <w:rPr>
                <w:sz w:val="21"/>
              </w:rPr>
              <w:t>快检设备或试剂</w:t>
            </w:r>
            <w:r>
              <w:rPr>
                <w:sz w:val="21"/>
              </w:rPr>
              <w:t>、配合项目需要的车辆设备，提供</w:t>
            </w:r>
            <w:r>
              <w:rPr>
                <w:sz w:val="21"/>
              </w:rPr>
              <w:t>服务质量保证及售后服务能力</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采购包2（顺德区市场监督管理局2024年3月-2025年2月食用农产品快速检测-包2）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★服务期一年，具体起止时间以合同签订时间为准。</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1期：支付比例87.89%,★（一）合同签订生效后5个日历日内，采购人向中标人支付合同总额的87.89%作为预付款。</w:t>
            </w:r>
          </w:p>
          <w:p/>
          <w:p>
            <w:r>
              <w:rPr/>
              <w:t>2期：支付比例12.11%,★（二）整个项目全部完成经验收合格之日起5个日历日内，采购人向中标人支付合同总额的12.11%。</w:t>
            </w:r>
          </w:p>
        </w:tc>
      </w:tr>
      <w:tr>
        <w:tc>
          <w:tcPr>
            <w:tcW w:type="dxa" w:w="4153"/>
          </w:tcPr>
          <w:p>
            <w:r>
              <w:rPr/>
              <w:t>验收要求</w:t>
            </w:r>
          </w:p>
        </w:tc>
        <w:tc>
          <w:tcPr>
            <w:tcW w:type="dxa" w:w="4153"/>
          </w:tcPr>
          <w:p/>
          <w:p/>
          <w:p/>
          <w:p>
            <w:r>
              <w:rPr/>
              <w:t>1期：★（一）由采购人委托第三方机构组织专家进行考核验收，相关费用包含在合同价内。★（二）验收标准：项目采购合同约定事项履约到位，主要包括100%完成采样及检测服务（抽样、检测、记录、结果公示、不合格发现率、不合格产品处理、跟踪抽检、数据比对分析和监督抽检等），实验室运营管理规范（制度、设备设施、人员、试剂及标准物质等），日常监督管理（每月全覆盖检查、质量分析会议、分析报告等）落实到位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付款要求：（一）采购人支付每笔款项时，中标人应提供相应金额的正式发票（收款方、出具发票方和合同乙方均必须与中标人名称一致）。（二）付款方式：采用支票、银行汇付（含电汇）等形式。（三）因采购人使用的是财政资金，上述支付时间是指采购人向政府支付部门提出办理财政支付申请手续的时间，不含政府财政支付部门审核的时间。因政府财政支付审批流程及办理手续造成支付进度有所推延，而导致采购人逾期付款的，采购人不承担逾期付款违约责任。（四）付款期间如因特殊情况需调整，由双方协商处理。</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投标报价为广东省佛山市现场目的地交付固定总价包干价，并以人民币为报价货币。报价中包含（但不限于）：采样费用、购样费、检验费、邮寄费、复检费用和复查费用、车辆（如有）及相关检验设备购置费、试剂试纸耗材购买费、场地租赁等费用、人工费、数据分析费、出具报告费用、保险费用、仓储费、快检实验室费用（租赁费、辅助器具、冷藏冷冻设备、前处理设备、办公室水电费、快检仪器设备费）运输费、商检费用、验收费、招标代理服务费、税费及不可预见费等完成本采购内容所需的一切费用。 （二）投标人必须自行考虑本项目在实施期间一切可能产生的费用。在合同执行的过程中，采购人将不再另行支付与本项目相关的任何费用。 （三）投标报价不得高于本采购包的采购包预算金额，否则视为无效报价，作无效投标处理。</w:t>
            </w:r>
          </w:p>
        </w:tc>
      </w:tr>
      <w:tr>
        <w:tc>
          <w:tcPr>
            <w:tcW w:type="dxa" w:w="2076"/>
          </w:tcPr>
          <w:p>
            <w:pPr>
              <w:jc w:val="center"/>
            </w:pPr>
          </w:p>
        </w:tc>
        <w:tc>
          <w:tcPr>
            <w:tcW w:type="dxa" w:w="2076"/>
          </w:tcPr>
          <w:p>
            <w:pPr>
              <w:jc w:val="center"/>
            </w:pPr>
            <w:r>
              <w:rPr/>
              <w:t>2</w:t>
            </w:r>
          </w:p>
        </w:tc>
        <w:tc>
          <w:tcPr>
            <w:tcW w:type="dxa" w:w="2076"/>
          </w:tcPr>
          <w:p>
            <w:pPr>
              <w:jc w:val="left"/>
            </w:pPr>
            <w:r>
              <w:rPr/>
              <w:t>人员管理</w:t>
            </w:r>
          </w:p>
        </w:tc>
        <w:tc>
          <w:tcPr>
            <w:tcW w:type="dxa" w:w="2076"/>
          </w:tcPr>
          <w:p>
            <w:pPr>
              <w:jc w:val="left"/>
            </w:pPr>
            <w:r>
              <w:rPr/>
              <w:t>（一）为保障快检工作高质量开展，中标人需指定1名本采购项目专职负责人（不得由检测人员兼任，必要时可提供现场服务）全面统筹跟进本项目的监督管理工作，专职项目负责人须熟知食品安全国家标准、行业标准，掌握质量控制要求、实验室安全与防护知识等，并具备对食品安全有害因素进行安全评价以及对检测人员出具的检测数据进行分析的能力。 （二）拟投入的项目团队成员（专职项目负责人除外）不少于18人，应包含至少2名高级职称人员，全面管理指导快速检测工作，确保严格按规范要求开展快检工作。同时，包含区级或以上食药监管理部门食品安全技术专家，提供汇总分析、食品安全趋势分析及改善建议。项目团队成员中须指派不少于2名专业快检人员作为工作人员负责开展重大活动餐饮服务食品安全现场驻点保障或巡查保障（包括现场培训、指导监督、检测、采样、记录），对可疑食品和高风险食品、重点食品及原料等进行抽样和快速检测等工作，将检测结果第一时间通知采购人，如检出可疑阳性样品，立即报告并配合采购人将可疑样品送具有检测资质的实验室进行定量检测，并辅助做好食品安全监管有关工作。在重大活动结束后，做好重大活动相关信息的收集汇总，撰写工作总结，按时间顺序汇总抽样检测情况信息，建立重大活动抽样检测记录档案。 （三）★项目团队成员应熟练掌握农产品质量安全快速检测技术要求，并持有效证件上岗。 （四）★中标人须按其投标文件中承诺提供的项目组人员必须按要求投入到本项目中，并在合同签订后10个工作日内将人员的资料（包括但不限于身份证明、工作简历、培训记录、考核记录、上岗资格证书、聘任证明等）提交给采购人备案，在合同期内不得擅自更换并定期参加培训和考核。如无特殊原因原则上不能中途变更人员，确需变更人员的需经采购人书面同意。人员离开后，需在7天内作出补充。 （五）★采购人有权以书面形式要求中标人更换不能按规定履行合同的人员。即使是采购人要求或同意更换的人员，其代替人员的资质仍应得到采购人的认可，且其资历和经验均不低于被更换人员。由此而产生的费用由中标人承担。 （六）★如中标人未经采购人书面同意擅自更换项目组人员，采购人有权扣除合同总额的10%作为违约金。发生本条上述情况累计达4次后，采购人有权终止合同，由此引致的经济损失，中标人须全额赔偿，采购人保留追究中标人相关责任的权利。 （七）★中标人对其雇员的人身安全负全部责任，在服务期间，中标人商须承担项目服务人员的社会保险、意外责任、工伤责任和所有服务风险。与项目服务人员发生的一切劳务纠纷，由中标人负责。</w:t>
            </w:r>
          </w:p>
        </w:tc>
      </w:tr>
      <w:tr>
        <w:tc>
          <w:tcPr>
            <w:tcW w:type="dxa" w:w="2076"/>
          </w:tcPr>
          <w:p>
            <w:pPr>
              <w:jc w:val="center"/>
            </w:pPr>
            <w:r>
              <w:rPr/>
              <w:t>★</w:t>
            </w:r>
          </w:p>
        </w:tc>
        <w:tc>
          <w:tcPr>
            <w:tcW w:type="dxa" w:w="2076"/>
          </w:tcPr>
          <w:p>
            <w:pPr>
              <w:jc w:val="center"/>
            </w:pPr>
            <w:r>
              <w:rPr/>
              <w:t>3</w:t>
            </w:r>
          </w:p>
        </w:tc>
        <w:tc>
          <w:tcPr>
            <w:tcW w:type="dxa" w:w="2076"/>
          </w:tcPr>
          <w:p>
            <w:pPr>
              <w:jc w:val="left"/>
            </w:pPr>
            <w:r>
              <w:rPr/>
              <w:t>保密要求</w:t>
            </w:r>
          </w:p>
        </w:tc>
        <w:tc>
          <w:tcPr>
            <w:tcW w:type="dxa" w:w="2076"/>
          </w:tcPr>
          <w:p>
            <w:pPr>
              <w:jc w:val="left"/>
            </w:pPr>
            <w:r>
              <w:rPr/>
              <w:t>任何一方应保证其工作人员或相关人员会对本项目的条款严格保密。中标人有义务对采购人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中标人因违反本条保密义务，给采购人造成的损失的，须进行赔偿。该保密义务不因合同终止而终止，双方须严格保密至相关信息已向大众公开为止。</w:t>
            </w:r>
          </w:p>
        </w:tc>
      </w:tr>
      <w:tr>
        <w:tc>
          <w:tcPr>
            <w:tcW w:type="dxa" w:w="2076"/>
          </w:tcPr>
          <w:p>
            <w:pPr>
              <w:jc w:val="center"/>
            </w:pPr>
            <w:r>
              <w:rPr/>
              <w:t>★</w:t>
            </w:r>
          </w:p>
        </w:tc>
        <w:tc>
          <w:tcPr>
            <w:tcW w:type="dxa" w:w="2076"/>
          </w:tcPr>
          <w:p>
            <w:pPr>
              <w:jc w:val="center"/>
            </w:pPr>
            <w:r>
              <w:rPr/>
              <w:t>4</w:t>
            </w:r>
          </w:p>
        </w:tc>
        <w:tc>
          <w:tcPr>
            <w:tcW w:type="dxa" w:w="2076"/>
          </w:tcPr>
          <w:p>
            <w:pPr>
              <w:jc w:val="left"/>
            </w:pPr>
            <w:r>
              <w:rPr/>
              <w:t>成果归属</w:t>
            </w:r>
          </w:p>
        </w:tc>
        <w:tc>
          <w:tcPr>
            <w:tcW w:type="dxa" w:w="2076"/>
          </w:tcPr>
          <w:p>
            <w:pPr>
              <w:jc w:val="left"/>
            </w:pPr>
            <w:r>
              <w:rPr/>
              <w:t>（一）本项目的所有成果著作权等知识产权和所有权益归采购人所有。未经采购人书面同意，中标人不得引用、发表和向第三者提供。 （二）采购人引用中标人的工作成果所完成的新的技术成果，属于采购人所有，采购人可依法享有就该项技术成果取得的精神权利、经济权利和其他权利。 （三）无论发生不限于合同何种情形（包括但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tc>
      </w:tr>
      <w:tr>
        <w:tc>
          <w:tcPr>
            <w:tcW w:type="dxa" w:w="2076"/>
          </w:tcPr>
          <w:p>
            <w:pPr>
              <w:jc w:val="center"/>
            </w:pPr>
            <w:r>
              <w:rPr/>
              <w:t>★</w:t>
            </w:r>
          </w:p>
        </w:tc>
        <w:tc>
          <w:tcPr>
            <w:tcW w:type="dxa" w:w="2076"/>
          </w:tcPr>
          <w:p>
            <w:pPr>
              <w:jc w:val="center"/>
            </w:pPr>
            <w:r>
              <w:rPr/>
              <w:t>5</w:t>
            </w:r>
          </w:p>
        </w:tc>
        <w:tc>
          <w:tcPr>
            <w:tcW w:type="dxa" w:w="2076"/>
          </w:tcPr>
          <w:p>
            <w:pPr>
              <w:jc w:val="left"/>
            </w:pPr>
            <w:r>
              <w:rPr/>
              <w:t>违约责任</w:t>
            </w:r>
          </w:p>
        </w:tc>
        <w:tc>
          <w:tcPr>
            <w:tcW w:type="dxa" w:w="2076"/>
          </w:tcPr>
          <w:p>
            <w:pPr>
              <w:jc w:val="left"/>
            </w:pPr>
            <w:r>
              <w:rPr/>
              <w:t>（一）中标人提供的服务不符合以下情形的，采购人有权拒收，并且中标人须向采购人支付合同总额5%的违约金。 1、中标人未按照合同、招标文件、投标文件以及省、市市场监督管理部门快检相关文件最新规定，按时按质按量完成采购人采购的食用农产品快速检测任务。中标人在合同履行期限内完成的食用农产品快检批次数量未达到约定检测任务批次数量。 2、中标人未按照约定配备符合要求的检测人员、项目负责人的，或因上述人员流动性过大、工作能力不足等原因影响到采购项目开展及工作质量。 3、中标人在项目服务期间的快检阳性总体发现率低于1.5%。 4、中标人对自查和各级市监部门监督检查发现的问题，应及时进行整改，举一反三，全面排查存在问题。中标人拒不整改或整改不力、出现反复，经采购人约谈后仍然整改不到位。 5、中标人提供的服务不符合合同、招标文件、投标文件以及省、市市场监督管理部门快检相关文件规定的其他情形。 注：合同、招标文件、投标文件以及省、市市场监督管理部门快检相关文件规定存在冲突的，以要求较高者为适用标准。 （二）中标人应确保检测数据的真实性、可溯性和准确性，中标人对检测数据、原始记录等存在造假行为的，采购人有权解除合同，中标人应退还采购人已经支付的款项并承担合同总金额10%的违约金，违约金不足以弥补对采购人造成的损失的，中标人还需支付采购人损失赔偿。 （三）中标人未能按规定的时间提供服务，从逾期之日起每日按合同总额3‰的数额向采购人支付违约金；逾期15天以上的，采购人有权终止合同，由此造成的采购人经济损失由中标人承担。 （四）采购人无正当理由拒绝接受服务，到期拒付服务款项的，采购人向中标人偿付合同总额5%的违约金。 （五）中标人将本项目转包或分包的，采购人有权终止合同，由此造成的采购人经济损失由中标人承担。 （六）其它违约责任按《中华人民共和国民法典》处理。</w:t>
            </w:r>
          </w:p>
        </w:tc>
      </w:tr>
      <w:tr>
        <w:tc>
          <w:tcPr>
            <w:tcW w:type="dxa" w:w="2076"/>
          </w:tcPr>
          <w:p>
            <w:pPr>
              <w:jc w:val="center"/>
            </w:pPr>
            <w:r>
              <w:rPr/>
              <w:t>★</w:t>
            </w:r>
          </w:p>
        </w:tc>
        <w:tc>
          <w:tcPr>
            <w:tcW w:type="dxa" w:w="2076"/>
          </w:tcPr>
          <w:p>
            <w:pPr>
              <w:jc w:val="center"/>
            </w:pPr>
            <w:r>
              <w:rPr/>
              <w:t>6</w:t>
            </w:r>
          </w:p>
        </w:tc>
        <w:tc>
          <w:tcPr>
            <w:tcW w:type="dxa" w:w="2076"/>
          </w:tcPr>
          <w:p>
            <w:pPr>
              <w:jc w:val="left"/>
            </w:pPr>
            <w:r>
              <w:rPr/>
              <w:t>其他要求</w:t>
            </w:r>
          </w:p>
        </w:tc>
        <w:tc>
          <w:tcPr>
            <w:tcW w:type="dxa" w:w="2076"/>
          </w:tcPr>
          <w:p>
            <w:pPr>
              <w:jc w:val="left"/>
            </w:pPr>
            <w:r>
              <w:rPr/>
              <w:t>（一）中标人在完成本采购项目过程中产生的所有纠纷（包括但不限于劳动纠纷、合同纠纷等），由中标人负责处理，与采购人无关，因处理纠纷产生的全部费用由中标人承担。 （二）目前5个政府快检室（含1个批发市场驻场检测点）和1台移动检测车均已配备了相应的设备，但如设备数量不足或者设备不符合要求时，需中标人提供相关设备，相关费用包含在报价中。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技术测试和分析服务</w:t>
            </w:r>
          </w:p>
        </w:tc>
        <w:tc>
          <w:tcPr>
            <w:tcW w:type="dxa" w:w="933"/>
          </w:tcPr>
          <w:p>
            <w:pPr>
              <w:jc w:val="left"/>
            </w:pPr>
            <w:r>
              <w:rPr/>
              <w:t>顺德区市场监督管理局2024年3月-2025年2月食用农产品快速检测-包2</w:t>
            </w:r>
          </w:p>
        </w:tc>
        <w:tc>
          <w:tcPr>
            <w:tcW w:type="dxa" w:w="933"/>
          </w:tcPr>
          <w:p>
            <w:pPr>
              <w:jc w:val="left"/>
            </w:pPr>
            <w:r>
              <w:rPr/>
              <w:t>项</w:t>
            </w:r>
          </w:p>
        </w:tc>
        <w:tc>
          <w:tcPr>
            <w:tcW w:type="dxa" w:w="933"/>
          </w:tcPr>
          <w:p>
            <w:pPr>
              <w:jc w:val="right"/>
            </w:pPr>
            <w:r>
              <w:rPr/>
              <w:t>1.00</w:t>
            </w:r>
          </w:p>
        </w:tc>
        <w:tc>
          <w:tcPr>
            <w:tcW w:type="dxa" w:w="933"/>
          </w:tcPr>
          <w:p>
            <w:pPr>
              <w:jc w:val="right"/>
            </w:pPr>
            <w:r>
              <w:rPr/>
              <w:t>2,011,000.00</w:t>
            </w:r>
          </w:p>
        </w:tc>
        <w:tc>
          <w:tcPr>
            <w:tcW w:type="dxa" w:w="933"/>
          </w:tcPr>
          <w:p>
            <w:pPr>
              <w:jc w:val="right"/>
            </w:pPr>
            <w:r>
              <w:rPr/>
              <w:t>2,011,000.00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顺德区市场监督管理局2024年3月-2025年2月食用农产品快速检测-包2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采样及检测服务</w:t>
            </w:r>
          </w:p>
          <w:p>
            <w:pPr>
              <w:jc w:val="both"/>
            </w:pPr>
            <w:r>
              <w:rPr>
                <w:sz w:val="21"/>
              </w:rPr>
              <w:t>（一）中标人必须严格按照《市场监管总局关于规范食品快速检测使用的意见》（国市监食检规〔</w:t>
            </w:r>
            <w:r>
              <w:rPr>
                <w:sz w:val="21"/>
              </w:rPr>
              <w:t>2023</w:t>
            </w:r>
            <w:r>
              <w:rPr>
                <w:sz w:val="21"/>
              </w:rPr>
              <w:t>〕</w:t>
            </w:r>
            <w:r>
              <w:rPr>
                <w:sz w:val="21"/>
              </w:rPr>
              <w:t>1</w:t>
            </w:r>
            <w:r>
              <w:rPr>
                <w:sz w:val="21"/>
              </w:rPr>
              <w:t>号）、《关于进一步规范农贸市场快检工作的通知》（粤食药监办食农〔</w:t>
            </w:r>
            <w:r>
              <w:rPr>
                <w:sz w:val="21"/>
              </w:rPr>
              <w:t>2016</w:t>
            </w:r>
            <w:r>
              <w:rPr>
                <w:sz w:val="21"/>
              </w:rPr>
              <w:t>〕</w:t>
            </w:r>
            <w:r>
              <w:rPr>
                <w:sz w:val="21"/>
              </w:rPr>
              <w:t>389</w:t>
            </w:r>
            <w:r>
              <w:rPr>
                <w:sz w:val="21"/>
              </w:rPr>
              <w:t>号）、《广东省市场监督管理局关于印发</w:t>
            </w:r>
            <w:r>
              <w:rPr>
                <w:sz w:val="21"/>
              </w:rPr>
              <w:t>2024</w:t>
            </w:r>
            <w:r>
              <w:rPr>
                <w:sz w:val="21"/>
              </w:rPr>
              <w:t>年全省食用农产品快速检测工作方案的通知》（粤市监食经〔</w:t>
            </w:r>
            <w:r>
              <w:rPr>
                <w:sz w:val="21"/>
              </w:rPr>
              <w:t>2024</w:t>
            </w:r>
            <w:r>
              <w:rPr>
                <w:sz w:val="21"/>
              </w:rPr>
              <w:t>〕</w:t>
            </w:r>
            <w:r>
              <w:rPr>
                <w:sz w:val="21"/>
              </w:rPr>
              <w:t>45</w:t>
            </w:r>
            <w:r>
              <w:rPr>
                <w:sz w:val="21"/>
              </w:rPr>
              <w:t>号</w:t>
            </w:r>
            <w:r>
              <w:rPr>
                <w:sz w:val="21"/>
              </w:rPr>
              <w:t>)</w:t>
            </w:r>
            <w:r>
              <w:rPr>
                <w:sz w:val="21"/>
              </w:rPr>
              <w:t>、《广东省市场监督管理局办公室关于委托省食品检验所对食用农产品快检工作开展监督及质量评价的通知》（粤市监办发〔</w:t>
            </w:r>
            <w:r>
              <w:rPr>
                <w:sz w:val="21"/>
              </w:rPr>
              <w:t>2023</w:t>
            </w:r>
            <w:r>
              <w:rPr>
                <w:sz w:val="21"/>
              </w:rPr>
              <w:t>〕</w:t>
            </w:r>
            <w:r>
              <w:rPr>
                <w:sz w:val="21"/>
              </w:rPr>
              <w:t>994</w:t>
            </w:r>
            <w:r>
              <w:rPr>
                <w:sz w:val="21"/>
              </w:rPr>
              <w:t>号）等相关规定要求（当本项目相关技术文件更新时，以更新后的版本为准。如国家、省另有最新的技术规定，则以相应最新规定执行）以及快检设备、快检试剂操作使用方法（有国家规定快速检测方法的不得使用其他方法），按程序、依步骤开展快检，做好抽样、检验、结果记录和公示结果照片记录，做好留样工作，准确填写和妥善保存相关信息记录，确保数据溯源性，以备核查。</w:t>
            </w:r>
          </w:p>
          <w:p>
            <w:pPr>
              <w:jc w:val="both"/>
            </w:pPr>
            <w:r>
              <w:rPr>
                <w:sz w:val="21"/>
              </w:rPr>
              <w:t>（二）对快检不合格食用农产品，中标人需规范填写快检不合格结果告知书，按规定时间（快检完成后</w:t>
            </w:r>
            <w:r>
              <w:rPr>
                <w:sz w:val="21"/>
              </w:rPr>
              <w:t>0.5</w:t>
            </w:r>
            <w:r>
              <w:rPr>
                <w:sz w:val="21"/>
              </w:rPr>
              <w:t>小时）内通知被抽样方，并向经营者送达快检不合格结果告知书，通知经营者立即暂停销售。经营者认可快检结果的，</w:t>
            </w:r>
            <w:r>
              <w:rPr>
                <w:sz w:val="21"/>
              </w:rPr>
              <w:t>通知</w:t>
            </w:r>
            <w:r>
              <w:rPr>
                <w:sz w:val="21"/>
              </w:rPr>
              <w:t>市场开办者监督经营者现场销毁，对整个销毁过程进行拍照（照片必须体现销毁过程）或视频取证并按对应的告知书编号保存，填写销毁记录表、如实记录不合格产品来源信息，督促食用农产品经营者落实进货查验记录制度等。中标人需现场指导经营者严格按照广东省市场监督管理局、佛山市市场监督管理局要求及时做好不合格产品销毁处置工作，防止不合格食用农产品回流市场，并督促经营者落实食品召回制度。经营者提出异议的，中标人要通知属地市场监管所并进行监督抽检，检验期间，责令经营者暂停销售快检不合格的食用农产品。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对广东省市场监督管理局明确规定快速检测结果呈阳性应启动抽样检验程序的检测项目检出的不合格样品、被抽样单位有异议提出复检的不合格样品，由中标人的法检实验室负责进行法检确认和监督抽检，并及时出具书面检验报告给属地市场监管所依法处理。</w:t>
            </w:r>
          </w:p>
          <w:p>
            <w:pPr>
              <w:jc w:val="both"/>
            </w:pPr>
            <w:r>
              <w:rPr>
                <w:sz w:val="21"/>
              </w:rPr>
              <w:t>（三）为做好阳性样品的后续跟踪处理及相关追溯调查，要求中标人具备的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号）中的附件《</w:t>
            </w:r>
            <w:r>
              <w:rPr>
                <w:sz w:val="21"/>
              </w:rPr>
              <w:t>2023</w:t>
            </w:r>
            <w:r>
              <w:rPr>
                <w:sz w:val="21"/>
              </w:rPr>
              <w:t>年食用农产品监督抽检品种、项目表》的检测项目。并根据省农业厅（农业农村厅）的强制要求参加省农业厅（农业农村厅）组织的能力验证，确保其食用农产品的法定检测资质持续有效。</w:t>
            </w:r>
          </w:p>
          <w:p>
            <w:pPr>
              <w:jc w:val="both"/>
            </w:pPr>
            <w:r>
              <w:rPr>
                <w:sz w:val="21"/>
              </w:rPr>
              <w:t>（四）所有的快检数据要按规定格式实时上传至广东省快检平台。上传食用农产品快检信息包括样品名称、产地、数量、供货单位、被抽检单位、不合格项目等信息。原则上要当天上传，由于停电、设备故障等特殊原因（不可抗力），可在</w:t>
            </w:r>
            <w:r>
              <w:rPr>
                <w:sz w:val="21"/>
              </w:rPr>
              <w:t>48</w:t>
            </w:r>
            <w:r>
              <w:rPr>
                <w:sz w:val="21"/>
              </w:rPr>
              <w:t>小时内补录。中标人要加强对上传数据的检查，对错报、漏报的，要第一时间进行改正，保证平台数据的准确性和规范性。</w:t>
            </w:r>
          </w:p>
          <w:p>
            <w:pPr>
              <w:jc w:val="both"/>
            </w:pPr>
            <w:r>
              <w:rPr>
                <w:sz w:val="21"/>
              </w:rPr>
              <w:t>（五）中标人每月需至少开展一次</w:t>
            </w:r>
            <w:r>
              <w:rPr>
                <w:sz w:val="21"/>
              </w:rPr>
              <w:t>“你点我检” “你送我检”等便民活动，加强与市民的互动，增强市民参与度和知晓度，提高快检工作的社会效果。</w:t>
            </w:r>
          </w:p>
        </w:tc>
      </w:tr>
      <w:tr>
        <w:tc>
          <w:tcPr>
            <w:tcW w:type="dxa" w:w="2076"/>
          </w:tcPr>
          <w:p/>
        </w:tc>
        <w:tc>
          <w:tcPr>
            <w:tcW w:type="dxa" w:w="415"/>
          </w:tcPr>
          <w:p>
            <w:r>
              <w:rPr/>
              <w:t>2</w:t>
            </w:r>
          </w:p>
        </w:tc>
        <w:tc>
          <w:tcPr>
            <w:tcW w:type="dxa" w:w="5814"/>
          </w:tcPr>
          <w:p>
            <w:pPr>
              <w:jc w:val="both"/>
            </w:pPr>
            <w:r>
              <w:rPr>
                <w:sz w:val="21"/>
              </w:rPr>
              <w:t>采样及检测服务具体批次要求</w:t>
            </w:r>
          </w:p>
          <w:p>
            <w:pPr>
              <w:jc w:val="both"/>
            </w:pPr>
            <w:r>
              <w:rPr>
                <w:sz w:val="21"/>
              </w:rPr>
              <w:t>具体抽检要求及批次经双方协商同意后可根据广东省市场监督管理局、佛山市市场监督管理局最新文件要求和工作实际进行调整，项目服务期间抽检批次不得少于下表中约定的检测任务数。</w:t>
            </w:r>
          </w:p>
          <w:tbl>
            <w:tblPr>
              <w:tblBorders>
                <w:top w:val="none" w:color="000000" w:sz="4"/>
                <w:left w:val="none" w:color="000000" w:sz="4"/>
                <w:bottom w:val="none" w:color="000000" w:sz="4"/>
                <w:right w:val="none" w:color="000000" w:sz="4"/>
                <w:insideH w:val="none"/>
                <w:insideV w:val="none"/>
              </w:tblBorders>
            </w:tblPr>
            <w:tblGrid>
              <w:gridCol w:w="360"/>
              <w:gridCol w:w="667"/>
              <w:gridCol w:w="637"/>
              <w:gridCol w:w="654"/>
              <w:gridCol w:w="2292"/>
              <w:gridCol w:w="988"/>
            </w:tblGrid>
            <w:tr>
              <w:tc>
                <w:tcPr>
                  <w:tcW w:type="dxa" w:w="360"/>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667"/>
                  <w:tcBorders>
                    <w:top w:val="single" w:color="000000" w:sz="4"/>
                    <w:left w:val="none" w:color="000000" w:sz="4"/>
                    <w:bottom w:val="single" w:color="000000" w:sz="4"/>
                    <w:right w:val="single" w:color="000000" w:sz="4"/>
                  </w:tcBorders>
                  <w:shd w:fill="FFFFFF"/>
                  <w:vAlign w:val="top"/>
                </w:tcPr>
                <w:p>
                  <w:pPr>
                    <w:jc w:val="both"/>
                  </w:pPr>
                  <w:r>
                    <w:rPr>
                      <w:sz w:val="21"/>
                    </w:rPr>
                    <w:t>任务名称</w:t>
                  </w:r>
                </w:p>
              </w:tc>
              <w:tc>
                <w:tcPr>
                  <w:tcW w:type="dxa" w:w="637"/>
                  <w:tcBorders>
                    <w:top w:val="single" w:color="000000" w:sz="4"/>
                    <w:left w:val="none" w:color="000000" w:sz="4"/>
                    <w:bottom w:val="single" w:color="000000" w:sz="4"/>
                    <w:right w:val="single" w:color="000000" w:sz="4"/>
                  </w:tcBorders>
                  <w:shd w:fill="FFFFFF"/>
                  <w:vAlign w:val="top"/>
                </w:tcPr>
                <w:p>
                  <w:pPr>
                    <w:jc w:val="both"/>
                  </w:pPr>
                  <w:r>
                    <w:rPr>
                      <w:sz w:val="21"/>
                    </w:rPr>
                    <w:t>检测品种</w:t>
                  </w:r>
                </w:p>
              </w:tc>
              <w:tc>
                <w:tcPr>
                  <w:tcW w:type="dxa" w:w="654"/>
                  <w:tcBorders>
                    <w:top w:val="single" w:color="000000" w:sz="4"/>
                    <w:left w:val="none" w:color="000000" w:sz="4"/>
                    <w:bottom w:val="single" w:color="000000" w:sz="4"/>
                    <w:right w:val="single" w:color="000000" w:sz="4"/>
                  </w:tcBorders>
                  <w:shd w:fill="FFFFFF"/>
                  <w:vAlign w:val="top"/>
                </w:tcPr>
                <w:p>
                  <w:pPr>
                    <w:jc w:val="both"/>
                  </w:pPr>
                  <w:r>
                    <w:rPr>
                      <w:sz w:val="21"/>
                    </w:rPr>
                    <w:t>检测批次</w:t>
                  </w:r>
                </w:p>
              </w:tc>
              <w:tc>
                <w:tcPr>
                  <w:tcW w:type="dxa" w:w="2292"/>
                  <w:tcBorders>
                    <w:top w:val="single" w:color="000000" w:sz="4"/>
                    <w:left w:val="none" w:color="000000" w:sz="4"/>
                    <w:bottom w:val="single" w:color="000000" w:sz="4"/>
                    <w:right w:val="single" w:color="000000" w:sz="4"/>
                  </w:tcBorders>
                  <w:shd w:fill="FFFFFF"/>
                  <w:vAlign w:val="top"/>
                </w:tcPr>
                <w:p>
                  <w:pPr>
                    <w:jc w:val="both"/>
                  </w:pPr>
                  <w:r>
                    <w:rPr>
                      <w:sz w:val="21"/>
                    </w:rPr>
                    <w:t>具体要求</w:t>
                  </w:r>
                </w:p>
              </w:tc>
              <w:tc>
                <w:tcPr>
                  <w:tcW w:type="dxa" w:w="988"/>
                  <w:tcBorders>
                    <w:top w:val="single" w:color="000000" w:sz="4"/>
                    <w:left w:val="none" w:color="000000" w:sz="4"/>
                    <w:bottom w:val="single" w:color="000000" w:sz="4"/>
                    <w:right w:val="single" w:color="000000" w:sz="4"/>
                  </w:tcBorders>
                  <w:shd w:fill="FFFFFF"/>
                  <w:vAlign w:val="top"/>
                </w:tcPr>
                <w:p>
                  <w:pPr>
                    <w:jc w:val="both"/>
                  </w:pPr>
                  <w:r>
                    <w:rPr>
                      <w:sz w:val="21"/>
                    </w:rPr>
                    <w:t>备注</w:t>
                  </w:r>
                </w:p>
              </w:tc>
            </w:tr>
            <w:tr>
              <w:tc>
                <w:tcPr>
                  <w:tcW w:type="dxa" w:w="360"/>
                  <w:vMerge w:val="restart"/>
                  <w:tcBorders>
                    <w:top w:val="none" w:color="000000" w:sz="4"/>
                    <w:left w:val="single" w:color="000000" w:sz="4"/>
                    <w:bottom w:val="single" w:color="000000" w:sz="4"/>
                    <w:right w:val="single" w:color="000000" w:sz="4"/>
                  </w:tcBorders>
                  <w:shd w:fill="FFFFFF"/>
                  <w:vAlign w:val="top"/>
                </w:tcPr>
                <w:p>
                  <w:pPr>
                    <w:jc w:val="both"/>
                  </w:pPr>
                  <w:r>
                    <w:rPr>
                      <w:sz w:val="21"/>
                    </w:rPr>
                    <w:t>1</w:t>
                  </w:r>
                </w:p>
              </w:tc>
              <w:tc>
                <w:tcPr>
                  <w:tcW w:type="dxa" w:w="667"/>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家农贸市场（零售市场）专项检测任务</w:t>
                  </w:r>
                </w:p>
              </w:tc>
              <w:tc>
                <w:tcPr>
                  <w:tcW w:type="dxa" w:w="637"/>
                  <w:tcBorders>
                    <w:top w:val="none" w:color="000000" w:sz="4"/>
                    <w:left w:val="none" w:color="000000" w:sz="4"/>
                    <w:bottom w:val="none" w:color="000000" w:sz="4"/>
                    <w:right w:val="single" w:color="000000" w:sz="4"/>
                  </w:tcBorders>
                  <w:shd w:fill="FFFFFF"/>
                  <w:vAlign w:val="top"/>
                </w:tcPr>
                <w:p>
                  <w:pPr>
                    <w:jc w:val="both"/>
                  </w:pPr>
                  <w:r>
                    <w:rPr>
                      <w:sz w:val="21"/>
                    </w:rPr>
                    <w:t>蔬菜类</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54720</w:t>
                  </w:r>
                </w:p>
              </w:tc>
              <w:tc>
                <w:tcPr>
                  <w:tcW w:type="dxa" w:w="2292"/>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家农贸市场，每个零售市场每月检测数量不少于</w:t>
                  </w:r>
                  <w:r>
                    <w:rPr>
                      <w:sz w:val="21"/>
                    </w:rPr>
                    <w:t>100</w:t>
                  </w:r>
                  <w:r>
                    <w:rPr>
                      <w:sz w:val="21"/>
                    </w:rPr>
                    <w:t>批次，蔬菜不少于</w:t>
                  </w:r>
                  <w:r>
                    <w:rPr>
                      <w:sz w:val="21"/>
                    </w:rPr>
                    <w:t>80</w:t>
                  </w:r>
                  <w:r>
                    <w:rPr>
                      <w:sz w:val="21"/>
                    </w:rPr>
                    <w:t>批次（胶体金占比不低于</w:t>
                  </w:r>
                  <w:r>
                    <w:rPr>
                      <w:sz w:val="21"/>
                    </w:rPr>
                    <w:t>50%</w:t>
                  </w:r>
                  <w:r>
                    <w:rPr>
                      <w:sz w:val="21"/>
                    </w:rPr>
                    <w:t>），水产品不少于</w:t>
                  </w:r>
                  <w:r>
                    <w:rPr>
                      <w:sz w:val="21"/>
                    </w:rPr>
                    <w:t>10</w:t>
                  </w:r>
                  <w:r>
                    <w:rPr>
                      <w:sz w:val="21"/>
                    </w:rPr>
                    <w:t>批次，禽畜肉蛋类不少于</w:t>
                  </w:r>
                  <w:r>
                    <w:rPr>
                      <w:sz w:val="21"/>
                    </w:rPr>
                    <w:t>10</w:t>
                  </w:r>
                  <w:r>
                    <w:rPr>
                      <w:sz w:val="21"/>
                    </w:rPr>
                    <w:t>批次。</w:t>
                  </w:r>
                  <w:r>
                    <w:rPr>
                      <w:sz w:val="21"/>
                    </w:rPr>
                    <w:t>每个市场</w:t>
                  </w:r>
                  <w:r>
                    <w:rPr>
                      <w:sz w:val="21"/>
                    </w:rPr>
                    <w:t>每周开展快检不少于</w:t>
                  </w:r>
                  <w:r>
                    <w:rPr>
                      <w:sz w:val="21"/>
                    </w:rPr>
                    <w:t>5</w:t>
                  </w:r>
                  <w:r>
                    <w:rPr>
                      <w:sz w:val="21"/>
                    </w:rPr>
                    <w:t>天</w:t>
                  </w:r>
                  <w:r>
                    <w:rPr>
                      <w:sz w:val="21"/>
                    </w:rPr>
                    <w:t>。</w:t>
                  </w:r>
                </w:p>
              </w:tc>
              <w:tc>
                <w:tcPr>
                  <w:tcW w:type="dxa" w:w="988"/>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家零售市场分布在</w:t>
                  </w:r>
                  <w:r>
                    <w:rPr>
                      <w:sz w:val="21"/>
                    </w:rPr>
                    <w:t>5</w:t>
                  </w:r>
                  <w:r>
                    <w:rPr>
                      <w:sz w:val="21"/>
                    </w:rPr>
                    <w:t>个镇街，原则上伦教</w:t>
                  </w:r>
                  <w:r>
                    <w:rPr>
                      <w:sz w:val="21"/>
                    </w:rPr>
                    <w:t>9</w:t>
                  </w:r>
                  <w:r>
                    <w:rPr>
                      <w:sz w:val="21"/>
                    </w:rPr>
                    <w:t>家、龙江</w:t>
                  </w:r>
                  <w:r>
                    <w:rPr>
                      <w:sz w:val="21"/>
                    </w:rPr>
                    <w:t>12</w:t>
                  </w:r>
                  <w:r>
                    <w:rPr>
                      <w:sz w:val="21"/>
                    </w:rPr>
                    <w:t>家、乐从</w:t>
                  </w:r>
                  <w:r>
                    <w:rPr>
                      <w:sz w:val="21"/>
                    </w:rPr>
                    <w:t>14</w:t>
                  </w:r>
                  <w:r>
                    <w:rPr>
                      <w:sz w:val="21"/>
                    </w:rPr>
                    <w:t>家、陈村</w:t>
                  </w:r>
                  <w:r>
                    <w:rPr>
                      <w:sz w:val="21"/>
                    </w:rPr>
                    <w:t>11</w:t>
                  </w:r>
                  <w:r>
                    <w:rPr>
                      <w:sz w:val="21"/>
                    </w:rPr>
                    <w:t>家、北滘</w:t>
                  </w:r>
                  <w:r>
                    <w:rPr>
                      <w:sz w:val="21"/>
                    </w:rPr>
                    <w:t>11</w:t>
                  </w:r>
                  <w:r>
                    <w:rPr>
                      <w:sz w:val="21"/>
                    </w:rPr>
                    <w:t>家，可根据实际情况调整，此快检任务为广东省市场监督管理局快检专项</w:t>
                  </w:r>
                </w:p>
              </w:tc>
            </w:tr>
            <w:tr>
              <w:tc>
                <w:tcPr>
                  <w:tcW w:type="dxa" w:w="360"/>
                  <w:vMerge/>
                  <w:tcBorders>
                    <w:top w:val="none" w:color="000000" w:sz="4"/>
                    <w:left w:val="single" w:color="000000" w:sz="4"/>
                    <w:bottom w:val="singl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637"/>
                  <w:tcBorders>
                    <w:top w:val="single" w:color="000000" w:sz="4"/>
                    <w:left w:val="none" w:color="000000" w:sz="4"/>
                    <w:bottom w:val="single" w:color="000000" w:sz="4"/>
                    <w:right w:val="single" w:color="000000" w:sz="4"/>
                  </w:tcBorders>
                  <w:shd w:fill="FFFFFF"/>
                  <w:vAlign w:val="top"/>
                </w:tcPr>
                <w:p>
                  <w:pPr>
                    <w:jc w:val="both"/>
                  </w:pPr>
                  <w:r>
                    <w:rPr>
                      <w:sz w:val="21"/>
                    </w:rPr>
                    <w:t>水产品</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6840</w:t>
                  </w:r>
                </w:p>
              </w:tc>
            </w:tr>
            <w:tr>
              <w:tc>
                <w:tcPr>
                  <w:tcW w:type="dxa" w:w="360"/>
                  <w:vMerge/>
                  <w:tcBorders>
                    <w:top w:val="none" w:color="000000" w:sz="4"/>
                    <w:left w:val="single" w:color="000000" w:sz="4"/>
                    <w:bottom w:val="singl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shd w:fill="FFFFFF"/>
                  <w:vAlign w:val="top"/>
                </w:tcPr>
                <w:p>
                  <w:pPr>
                    <w:jc w:val="both"/>
                  </w:pPr>
                  <w:r>
                    <w:rPr>
                      <w:sz w:val="21"/>
                    </w:rPr>
                    <w:t>禽畜肉蛋类</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6840</w:t>
                  </w:r>
                </w:p>
              </w:tc>
            </w:tr>
            <w:tr>
              <w:tc>
                <w:tcPr>
                  <w:tcW w:type="dxa" w:w="360"/>
                  <w:tcBorders>
                    <w:top w:val="none" w:color="000000" w:sz="4"/>
                    <w:left w:val="single" w:color="000000" w:sz="4"/>
                    <w:bottom w:val="single" w:color="000000" w:sz="4"/>
                    <w:right w:val="single" w:color="000000" w:sz="4"/>
                  </w:tcBorders>
                  <w:shd w:fill="FFFFFF"/>
                  <w:vAlign w:val="top"/>
                </w:tcPr>
                <w:p>
                  <w:pPr>
                    <w:jc w:val="both"/>
                  </w:pPr>
                  <w:r>
                    <w:rPr>
                      <w:sz w:val="21"/>
                    </w:rPr>
                    <w:t>2</w:t>
                  </w:r>
                </w:p>
              </w:tc>
              <w:tc>
                <w:tcPr>
                  <w:tcW w:type="dxa" w:w="667"/>
                  <w:tcBorders>
                    <w:top w:val="none" w:color="000000" w:sz="4"/>
                    <w:left w:val="none" w:color="000000" w:sz="4"/>
                    <w:bottom w:val="single" w:color="000000" w:sz="4"/>
                    <w:right w:val="single" w:color="000000" w:sz="4"/>
                  </w:tcBorders>
                  <w:shd w:fill="FFFFFF"/>
                  <w:vAlign w:val="top"/>
                </w:tcPr>
                <w:p>
                  <w:pPr>
                    <w:jc w:val="both"/>
                  </w:pPr>
                  <w:r>
                    <w:rPr>
                      <w:sz w:val="21"/>
                    </w:rPr>
                    <w:t>伦教三洲水产品批发市场专项检测任务</w:t>
                  </w:r>
                </w:p>
              </w:tc>
              <w:tc>
                <w:tcPr>
                  <w:tcW w:type="dxa" w:w="637"/>
                  <w:tcBorders>
                    <w:top w:val="none" w:color="000000" w:sz="4"/>
                    <w:left w:val="none" w:color="000000" w:sz="4"/>
                    <w:bottom w:val="single" w:color="000000" w:sz="4"/>
                    <w:right w:val="single" w:color="000000" w:sz="4"/>
                  </w:tcBorders>
                  <w:shd w:fill="FFFFFF"/>
                  <w:vAlign w:val="top"/>
                </w:tcPr>
                <w:p>
                  <w:pPr>
                    <w:jc w:val="both"/>
                  </w:pPr>
                  <w:r>
                    <w:rPr>
                      <w:sz w:val="21"/>
                    </w:rPr>
                    <w:t>水产品</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3300</w:t>
                  </w:r>
                </w:p>
              </w:tc>
              <w:tc>
                <w:tcPr>
                  <w:tcW w:type="dxa" w:w="2292"/>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个水产品批发市场（三洲水产品批发市场）每月快检数量不少于</w:t>
                  </w:r>
                  <w:r>
                    <w:rPr>
                      <w:sz w:val="21"/>
                    </w:rPr>
                    <w:t>300</w:t>
                  </w:r>
                  <w:r>
                    <w:rPr>
                      <w:sz w:val="21"/>
                    </w:rPr>
                    <w:t>批次。每周开展快检不少于</w:t>
                  </w:r>
                  <w:r>
                    <w:rPr>
                      <w:sz w:val="21"/>
                    </w:rPr>
                    <w:t>5</w:t>
                  </w:r>
                  <w:r>
                    <w:rPr>
                      <w:sz w:val="21"/>
                    </w:rPr>
                    <w:t>天</w:t>
                  </w:r>
                  <w:r>
                    <w:rPr>
                      <w:sz w:val="21"/>
                    </w:rPr>
                    <w:t>。</w:t>
                  </w:r>
                </w:p>
              </w:tc>
              <w:tc>
                <w:tcPr>
                  <w:tcW w:type="dxa" w:w="988"/>
                  <w:tcBorders>
                    <w:top w:val="none" w:color="000000" w:sz="4"/>
                    <w:left w:val="none" w:color="000000" w:sz="4"/>
                    <w:bottom w:val="single" w:color="000000" w:sz="4"/>
                    <w:right w:val="single" w:color="000000" w:sz="4"/>
                  </w:tcBorders>
                  <w:shd w:fill="FFFFFF"/>
                  <w:vAlign w:val="top"/>
                </w:tcPr>
                <w:p>
                  <w:pPr>
                    <w:jc w:val="both"/>
                  </w:pPr>
                  <w:r>
                    <w:rPr>
                      <w:sz w:val="21"/>
                    </w:rPr>
                    <w:t>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360"/>
                  <w:vMerge w:val="restart"/>
                  <w:tcBorders>
                    <w:top w:val="none" w:color="000000" w:sz="4"/>
                    <w:left w:val="single" w:color="000000" w:sz="4"/>
                    <w:bottom w:val="single" w:color="000000" w:sz="4"/>
                    <w:right w:val="single" w:color="000000" w:sz="4"/>
                  </w:tcBorders>
                  <w:shd w:fill="FFFFFF"/>
                  <w:vAlign w:val="top"/>
                </w:tcPr>
                <w:p>
                  <w:pPr>
                    <w:jc w:val="both"/>
                  </w:pPr>
                  <w:r>
                    <w:rPr>
                      <w:sz w:val="21"/>
                    </w:rPr>
                    <w:t>3</w:t>
                  </w:r>
                </w:p>
              </w:tc>
              <w:tc>
                <w:tcPr>
                  <w:tcW w:type="dxa" w:w="667"/>
                  <w:vMerge w:val="restart"/>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台移动检测车日常检测任务</w:t>
                  </w:r>
                </w:p>
              </w:tc>
              <w:tc>
                <w:tcPr>
                  <w:tcW w:type="dxa" w:w="637"/>
                  <w:tcBorders>
                    <w:top w:val="none" w:color="000000" w:sz="4"/>
                    <w:left w:val="none" w:color="000000" w:sz="4"/>
                    <w:bottom w:val="none" w:color="000000" w:sz="4"/>
                    <w:right w:val="single" w:color="000000" w:sz="4"/>
                  </w:tcBorders>
                  <w:shd w:fill="FFFFFF"/>
                  <w:vAlign w:val="top"/>
                </w:tcPr>
                <w:p>
                  <w:pPr>
                    <w:jc w:val="both"/>
                  </w:pPr>
                  <w:r>
                    <w:rPr>
                      <w:sz w:val="21"/>
                    </w:rPr>
                    <w:t>蔬菜类</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10334</w:t>
                  </w:r>
                </w:p>
              </w:tc>
              <w:tc>
                <w:tcPr>
                  <w:tcW w:type="dxa" w:w="2292"/>
                  <w:vMerge w:val="restart"/>
                  <w:tcBorders>
                    <w:top w:val="none" w:color="000000" w:sz="4"/>
                    <w:left w:val="none" w:color="000000" w:sz="4"/>
                    <w:bottom w:val="none" w:color="000000" w:sz="4"/>
                    <w:right w:val="single" w:color="000000" w:sz="4"/>
                  </w:tcBorders>
                  <w:shd w:fill="FFFFFF"/>
                  <w:vAlign w:val="top"/>
                </w:tcPr>
                <w:p>
                  <w:pPr>
                    <w:jc w:val="both"/>
                  </w:pPr>
                  <w:r>
                    <w:rPr>
                      <w:sz w:val="21"/>
                    </w:rPr>
                    <w:t>检测范围为</w:t>
                  </w:r>
                  <w:r>
                    <w:rPr>
                      <w:sz w:val="21"/>
                    </w:rPr>
                    <w:t>25</w:t>
                  </w:r>
                  <w:r>
                    <w:rPr>
                      <w:sz w:val="21"/>
                    </w:rPr>
                    <w:t>家零售市场、大型超市、学校食堂、大型餐饮服务单位、连锁食用农产品销售企业。其中</w:t>
                  </w:r>
                  <w:r>
                    <w:rPr>
                      <w:sz w:val="21"/>
                    </w:rPr>
                    <w:t>25</w:t>
                  </w:r>
                  <w:r>
                    <w:rPr>
                      <w:sz w:val="21"/>
                    </w:rPr>
                    <w:t>家零售市场需完成</w:t>
                  </w:r>
                  <w:r>
                    <w:rPr>
                      <w:sz w:val="21"/>
                    </w:rPr>
                    <w:t>不少于</w:t>
                  </w:r>
                  <w:r>
                    <w:rPr>
                      <w:sz w:val="21"/>
                    </w:rPr>
                    <w:t>6900</w:t>
                  </w:r>
                  <w:r>
                    <w:rPr>
                      <w:sz w:val="21"/>
                    </w:rPr>
                    <w:t>批次，每月</w:t>
                  </w:r>
                  <w:r>
                    <w:rPr>
                      <w:sz w:val="21"/>
                    </w:rPr>
                    <w:t>不少于</w:t>
                  </w:r>
                  <w:r>
                    <w:rPr>
                      <w:sz w:val="21"/>
                    </w:rPr>
                    <w:t>600</w:t>
                  </w:r>
                  <w:r>
                    <w:rPr>
                      <w:sz w:val="21"/>
                    </w:rPr>
                    <w:t>批次（剩下的</w:t>
                  </w:r>
                  <w:r>
                    <w:rPr>
                      <w:sz w:val="21"/>
                    </w:rPr>
                    <w:t>300</w:t>
                  </w:r>
                  <w:r>
                    <w:rPr>
                      <w:sz w:val="21"/>
                    </w:rPr>
                    <w:t>批次需为水产，可自由调整），每月需覆盖</w:t>
                  </w:r>
                  <w:r>
                    <w:rPr>
                      <w:sz w:val="21"/>
                    </w:rPr>
                    <w:t>25</w:t>
                  </w:r>
                  <w:r>
                    <w:rPr>
                      <w:sz w:val="21"/>
                    </w:rPr>
                    <w:t>家零售市场。大型超市需完成</w:t>
                  </w:r>
                  <w:r>
                    <w:rPr>
                      <w:sz w:val="21"/>
                    </w:rPr>
                    <w:t>不少于</w:t>
                  </w:r>
                  <w:r>
                    <w:rPr>
                      <w:sz w:val="21"/>
                    </w:rPr>
                    <w:t>1</w:t>
                  </w:r>
                  <w:r>
                    <w:rPr>
                      <w:sz w:val="21"/>
                    </w:rPr>
                    <w:t>238</w:t>
                  </w:r>
                  <w:r>
                    <w:rPr>
                      <w:sz w:val="21"/>
                    </w:rPr>
                    <w:t>批次，每月</w:t>
                  </w:r>
                  <w:r>
                    <w:rPr>
                      <w:sz w:val="21"/>
                    </w:rPr>
                    <w:t>不少于</w:t>
                  </w:r>
                  <w:r>
                    <w:rPr>
                      <w:sz w:val="21"/>
                    </w:rPr>
                    <w:t>113</w:t>
                  </w:r>
                  <w:r>
                    <w:rPr>
                      <w:sz w:val="21"/>
                    </w:rPr>
                    <w:t>批次。学校食堂需完成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批次。大型餐饮服务单位需完成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批次。连锁食用农产品销售企业需完成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批次。以上</w:t>
                  </w:r>
                  <w:r>
                    <w:rPr>
                      <w:sz w:val="21"/>
                    </w:rPr>
                    <w:t>五</w:t>
                  </w:r>
                  <w:r>
                    <w:rPr>
                      <w:sz w:val="21"/>
                    </w:rPr>
                    <w:t>种检测地点每月检测批次原则上均需满足蔬菜类：水产品：禽畜肉蛋类</w:t>
                  </w:r>
                  <w:r>
                    <w:rPr>
                      <w:sz w:val="21"/>
                    </w:rPr>
                    <w:t>=25:4:1</w:t>
                  </w:r>
                  <w:r>
                    <w:rPr>
                      <w:sz w:val="21"/>
                    </w:rPr>
                    <w:t>，其中蔬菜胶体金占比不低于</w:t>
                  </w:r>
                  <w:r>
                    <w:rPr>
                      <w:sz w:val="21"/>
                    </w:rPr>
                    <w:t>50%</w:t>
                  </w:r>
                  <w:r>
                    <w:rPr>
                      <w:sz w:val="21"/>
                    </w:rPr>
                    <w:t>。对农贸市场开展抽检时，当天开展抽检的每个市场要覆盖蔬菜档不少于</w:t>
                  </w:r>
                  <w:r>
                    <w:rPr>
                      <w:sz w:val="21"/>
                    </w:rPr>
                    <w:t>4</w:t>
                  </w:r>
                  <w:r>
                    <w:rPr>
                      <w:sz w:val="21"/>
                    </w:rPr>
                    <w:t>档，水产档不少于</w:t>
                  </w:r>
                  <w:r>
                    <w:rPr>
                      <w:sz w:val="21"/>
                    </w:rPr>
                    <w:t>2</w:t>
                  </w:r>
                  <w:r>
                    <w:rPr>
                      <w:sz w:val="21"/>
                    </w:rPr>
                    <w:t>档。市场周边有生鲜店时，应当同时对生鲜店销售的食用农产品进行抽检。每周开展快检不少于</w:t>
                  </w:r>
                  <w:r>
                    <w:rPr>
                      <w:sz w:val="21"/>
                    </w:rPr>
                    <w:t>5</w:t>
                  </w:r>
                  <w:r>
                    <w:rPr>
                      <w:sz w:val="21"/>
                    </w:rPr>
                    <w:t>天</w:t>
                  </w:r>
                  <w:r>
                    <w:rPr>
                      <w:sz w:val="21"/>
                    </w:rPr>
                    <w:t>。</w:t>
                  </w:r>
                </w:p>
              </w:tc>
              <w:tc>
                <w:tcPr>
                  <w:tcW w:type="dxa" w:w="988"/>
                  <w:vMerge w:val="restart"/>
                  <w:tcBorders>
                    <w:top w:val="none" w:color="000000" w:sz="4"/>
                    <w:left w:val="none" w:color="000000" w:sz="4"/>
                    <w:bottom w:val="single" w:color="000000" w:sz="4"/>
                    <w:right w:val="single" w:color="000000" w:sz="4"/>
                  </w:tcBorders>
                  <w:shd w:fill="FFFFFF"/>
                  <w:vAlign w:val="top"/>
                </w:tcPr>
                <w:p>
                  <w:pPr>
                    <w:jc w:val="both"/>
                  </w:pPr>
                  <w:r>
                    <w:rPr>
                      <w:sz w:val="21"/>
                    </w:rPr>
                    <w:t>25</w:t>
                  </w:r>
                  <w:r>
                    <w:rPr>
                      <w:sz w:val="21"/>
                    </w:rPr>
                    <w:t>家零售市场原则上是每个镇街</w:t>
                  </w:r>
                  <w:r>
                    <w:rPr>
                      <w:sz w:val="21"/>
                    </w:rPr>
                    <w:t>5</w:t>
                  </w:r>
                  <w:r>
                    <w:rPr>
                      <w:sz w:val="21"/>
                    </w:rPr>
                    <w:t>家，可根据实际情况调整。此项目履行时间：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360"/>
                  <w:vMerge/>
                  <w:tcBorders>
                    <w:top w:val="none" w:color="000000" w:sz="4"/>
                    <w:left w:val="single" w:color="000000" w:sz="4"/>
                    <w:bottom w:val="singl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637"/>
                  <w:tcBorders>
                    <w:top w:val="single" w:color="000000" w:sz="4"/>
                    <w:left w:val="none" w:color="000000" w:sz="4"/>
                    <w:bottom w:val="single" w:color="000000" w:sz="4"/>
                    <w:right w:val="single" w:color="000000" w:sz="4"/>
                  </w:tcBorders>
                  <w:shd w:fill="FFFFFF"/>
                  <w:vAlign w:val="top"/>
                </w:tcPr>
                <w:p>
                  <w:pPr>
                    <w:jc w:val="both"/>
                  </w:pPr>
                  <w:r>
                    <w:rPr>
                      <w:sz w:val="21"/>
                    </w:rPr>
                    <w:t>水产品</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1953</w:t>
                  </w:r>
                </w:p>
              </w:tc>
            </w:tr>
            <w:tr>
              <w:tc>
                <w:tcPr>
                  <w:tcW w:type="dxa" w:w="360"/>
                  <w:vMerge/>
                  <w:tcBorders>
                    <w:top w:val="none" w:color="000000" w:sz="4"/>
                    <w:left w:val="single" w:color="000000" w:sz="4"/>
                    <w:bottom w:val="singl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shd w:fill="FFFFFF"/>
                  <w:vAlign w:val="top"/>
                </w:tcPr>
                <w:p>
                  <w:pPr>
                    <w:jc w:val="both"/>
                  </w:pPr>
                  <w:r>
                    <w:rPr>
                      <w:sz w:val="21"/>
                    </w:rPr>
                    <w:t>禽畜肉蛋类</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413</w:t>
                  </w:r>
                </w:p>
              </w:tc>
            </w:tr>
            <w:tr>
              <w:tc>
                <w:tcPr>
                  <w:tcW w:type="dxa" w:w="360"/>
                  <w:tcBorders>
                    <w:top w:val="none" w:color="000000" w:sz="4"/>
                    <w:left w:val="single" w:color="000000" w:sz="4"/>
                    <w:bottom w:val="single" w:color="000000" w:sz="4"/>
                    <w:right w:val="single" w:color="000000" w:sz="4"/>
                  </w:tcBorders>
                  <w:shd w:fill="FFFFFF"/>
                  <w:vAlign w:val="top"/>
                </w:tcPr>
                <w:p>
                  <w:pPr>
                    <w:jc w:val="both"/>
                  </w:pPr>
                  <w:r>
                    <w:rPr>
                      <w:sz w:val="21"/>
                    </w:rPr>
                    <w:t>4</w:t>
                  </w:r>
                </w:p>
              </w:tc>
              <w:tc>
                <w:tcPr>
                  <w:tcW w:type="dxa" w:w="667"/>
                  <w:tcBorders>
                    <w:top w:val="none" w:color="000000" w:sz="4"/>
                    <w:left w:val="none" w:color="000000" w:sz="4"/>
                    <w:bottom w:val="single" w:color="000000" w:sz="4"/>
                    <w:right w:val="single" w:color="000000" w:sz="4"/>
                  </w:tcBorders>
                  <w:shd w:fill="FFFFFF"/>
                  <w:vAlign w:val="top"/>
                </w:tcPr>
                <w:p>
                  <w:pPr>
                    <w:jc w:val="both"/>
                  </w:pPr>
                  <w:r>
                    <w:rPr>
                      <w:sz w:val="21"/>
                    </w:rPr>
                    <w:t>餐饮保障</w:t>
                  </w:r>
                </w:p>
              </w:tc>
              <w:tc>
                <w:tcPr>
                  <w:tcW w:type="dxa" w:w="637"/>
                  <w:tcBorders>
                    <w:top w:val="none" w:color="000000" w:sz="4"/>
                    <w:left w:val="none" w:color="000000" w:sz="4"/>
                    <w:bottom w:val="single" w:color="000000" w:sz="4"/>
                    <w:right w:val="single" w:color="000000" w:sz="4"/>
                  </w:tcBorders>
                  <w:shd w:fill="FFFFFF"/>
                  <w:vAlign w:val="top"/>
                </w:tcPr>
                <w:p>
                  <w:pPr>
                    <w:jc w:val="both"/>
                  </w:pPr>
                  <w:r>
                    <w:rPr>
                      <w:sz w:val="21"/>
                    </w:rPr>
                    <w:t>根据现场情况开展快检</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1"/>
                    </w:rPr>
                    <w:t>600</w:t>
                  </w:r>
                </w:p>
              </w:tc>
              <w:tc>
                <w:tcPr>
                  <w:tcW w:type="dxa" w:w="2292"/>
                  <w:tcBorders>
                    <w:top w:val="none" w:color="000000" w:sz="4"/>
                    <w:left w:val="none" w:color="000000" w:sz="4"/>
                    <w:bottom w:val="single" w:color="000000" w:sz="4"/>
                    <w:right w:val="single" w:color="000000" w:sz="4"/>
                  </w:tcBorders>
                  <w:shd w:fill="FFFFFF"/>
                  <w:vAlign w:val="top"/>
                </w:tcPr>
                <w:p>
                  <w:pPr>
                    <w:jc w:val="both"/>
                  </w:pPr>
                  <w:r>
                    <w:rPr>
                      <w:sz w:val="21"/>
                    </w:rPr>
                    <w:t>服务期内预计开展不少于</w:t>
                  </w:r>
                  <w:r>
                    <w:rPr>
                      <w:sz w:val="21"/>
                    </w:rPr>
                    <w:t>11</w:t>
                  </w:r>
                  <w:r>
                    <w:rPr>
                      <w:sz w:val="21"/>
                    </w:rPr>
                    <w:t>次重大活动或参照重大活动相关要求的活动的餐饮服务食品安全保障任务。预计快速检测食品及原料不少于</w:t>
                  </w:r>
                  <w:r>
                    <w:rPr>
                      <w:sz w:val="21"/>
                    </w:rPr>
                    <w:t>1200</w:t>
                  </w:r>
                  <w:r>
                    <w:rPr>
                      <w:sz w:val="21"/>
                    </w:rPr>
                    <w:t>批次。</w:t>
                  </w:r>
                </w:p>
              </w:tc>
              <w:tc>
                <w:tcPr>
                  <w:tcW w:type="dxa" w:w="988"/>
                  <w:tcBorders>
                    <w:top w:val="none" w:color="000000" w:sz="4"/>
                    <w:left w:val="none" w:color="000000" w:sz="4"/>
                    <w:bottom w:val="single" w:color="000000" w:sz="4"/>
                    <w:right w:val="single" w:color="000000" w:sz="4"/>
                  </w:tcBorders>
                  <w:shd w:fill="FFFFFF"/>
                  <w:vAlign w:val="top"/>
                </w:tcPr>
                <w:p>
                  <w:pPr>
                    <w:jc w:val="both"/>
                  </w:pPr>
                  <w:r>
                    <w:rPr>
                      <w:sz w:val="21"/>
                    </w:rPr>
                    <w:t>具体餐饮保障活动次数及快检批次数以实际情况为准。此项目履行时间：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1664"/>
                  <w:gridSpan w:val="3"/>
                  <w:tcBorders>
                    <w:top w:val="none" w:color="000000" w:sz="4"/>
                    <w:left w:val="single" w:color="000000" w:sz="4"/>
                    <w:bottom w:val="single" w:color="000000" w:sz="4"/>
                    <w:right w:val="single" w:color="000000" w:sz="4"/>
                  </w:tcBorders>
                  <w:shd w:fill="FFFFFF"/>
                  <w:vAlign w:val="top"/>
                </w:tcPr>
                <w:p>
                  <w:pPr>
                    <w:jc w:val="both"/>
                  </w:pPr>
                  <w:r>
                    <w:rPr>
                      <w:sz w:val="21"/>
                    </w:rPr>
                    <w:t>合计</w:t>
                  </w:r>
                </w:p>
              </w:tc>
              <w:tc>
                <w:tcPr>
                  <w:tcW w:type="dxa" w:w="3934"/>
                  <w:gridSpan w:val="3"/>
                  <w:tcBorders>
                    <w:top w:val="none" w:color="000000" w:sz="4"/>
                    <w:left w:val="none" w:color="000000" w:sz="4"/>
                    <w:bottom w:val="single" w:color="000000" w:sz="4"/>
                    <w:right w:val="single" w:color="000000" w:sz="4"/>
                  </w:tcBorders>
                  <w:shd w:fill="FFFFFF"/>
                  <w:vAlign w:val="top"/>
                </w:tcPr>
                <w:p>
                  <w:pPr>
                    <w:jc w:val="both"/>
                  </w:pPr>
                  <w:r>
                    <w:rPr>
                      <w:sz w:val="21"/>
                    </w:rPr>
                    <w:t>85000</w:t>
                  </w:r>
                  <w:r>
                    <w:rPr>
                      <w:sz w:val="21"/>
                    </w:rPr>
                    <w:t>批次</w:t>
                  </w:r>
                </w:p>
              </w:tc>
            </w:tr>
          </w:tbl>
          <w:p>
            <w:pPr>
              <w:jc w:val="both"/>
            </w:pPr>
            <w:r>
              <w:rPr>
                <w:sz w:val="21"/>
              </w:rPr>
              <w:t>注：</w:t>
            </w:r>
          </w:p>
          <w:p>
            <w:pPr>
              <w:jc w:val="both"/>
            </w:pPr>
            <w:r>
              <w:rPr>
                <w:sz w:val="21"/>
              </w:rPr>
              <w:t>（</w:t>
            </w:r>
            <w:r>
              <w:rPr>
                <w:sz w:val="21"/>
              </w:rPr>
              <w:t>1</w:t>
            </w:r>
            <w:r>
              <w:rPr>
                <w:sz w:val="21"/>
              </w:rPr>
              <w:t>）每个样品抽样量</w:t>
            </w:r>
            <w:r>
              <w:rPr>
                <w:sz w:val="21"/>
              </w:rPr>
              <w:t>原则上</w:t>
            </w:r>
            <w:r>
              <w:rPr>
                <w:sz w:val="21"/>
              </w:rPr>
              <w:t>不得少于</w:t>
            </w:r>
            <w:r>
              <w:rPr>
                <w:sz w:val="21"/>
              </w:rPr>
              <w:t>5</w:t>
            </w:r>
            <w:r>
              <w:rPr>
                <w:sz w:val="21"/>
              </w:rPr>
              <w:t>0g</w:t>
            </w:r>
            <w:r>
              <w:rPr>
                <w:sz w:val="21"/>
              </w:rPr>
              <w:t>，</w:t>
            </w:r>
            <w:r>
              <w:rPr>
                <w:sz w:val="21"/>
              </w:rPr>
              <w:t>每个水产品样品</w:t>
            </w:r>
            <w:r>
              <w:rPr>
                <w:sz w:val="21"/>
              </w:rPr>
              <w:t>原则上检测</w:t>
            </w:r>
            <w:r>
              <w:rPr>
                <w:sz w:val="21"/>
              </w:rPr>
              <w:t>1</w:t>
            </w:r>
            <w:r>
              <w:rPr>
                <w:sz w:val="21"/>
              </w:rPr>
              <w:t>个项目，最多不超过</w:t>
            </w:r>
            <w:r>
              <w:rPr>
                <w:sz w:val="21"/>
              </w:rPr>
              <w:t>2</w:t>
            </w:r>
            <w:r>
              <w:rPr>
                <w:sz w:val="21"/>
              </w:rPr>
              <w:t>个项目。</w:t>
            </w:r>
          </w:p>
          <w:p>
            <w:pPr>
              <w:jc w:val="both"/>
            </w:pPr>
            <w:r>
              <w:rPr>
                <w:sz w:val="21"/>
              </w:rPr>
              <w:t>（</w:t>
            </w:r>
            <w:r>
              <w:rPr>
                <w:sz w:val="21"/>
              </w:rPr>
              <w:t>2</w:t>
            </w:r>
            <w:r>
              <w:rPr>
                <w:sz w:val="21"/>
              </w:rPr>
              <w:t>）水产品抽检品种应覆盖鱼、虾、贝等重点品种，每周抽检不少于</w:t>
            </w:r>
            <w:r>
              <w:rPr>
                <w:sz w:val="21"/>
              </w:rPr>
              <w:t>1</w:t>
            </w:r>
            <w:r>
              <w:rPr>
                <w:sz w:val="21"/>
              </w:rPr>
              <w:t>天。原则上对当天开展抽检的单位每家抽样量不超过</w:t>
            </w:r>
            <w:r>
              <w:rPr>
                <w:sz w:val="21"/>
              </w:rPr>
              <w:t>5</w:t>
            </w:r>
            <w:r>
              <w:rPr>
                <w:sz w:val="21"/>
              </w:rPr>
              <w:t>个样品。可根据经营项目及当地消费习惯，增加选取销售量大、风险较高的食用农产品品种进行快检。有特殊情况的可以根据实际情况上报采购人后适当调整抽检比例。</w:t>
            </w:r>
          </w:p>
          <w:p>
            <w:pPr>
              <w:jc w:val="both"/>
            </w:pPr>
            <w:r>
              <w:rPr>
                <w:sz w:val="21"/>
              </w:rPr>
              <w:t>（</w:t>
            </w:r>
            <w:r>
              <w:rPr>
                <w:sz w:val="21"/>
              </w:rPr>
              <w:t>3</w:t>
            </w:r>
            <w:r>
              <w:rPr>
                <w:sz w:val="21"/>
              </w:rPr>
              <w:t>）快检品种对应检测项目和重点品种筛查应符合《</w:t>
            </w:r>
            <w:r>
              <w:rPr>
                <w:sz w:val="21"/>
              </w:rPr>
              <w:t>2023</w:t>
            </w:r>
            <w:r>
              <w:rPr>
                <w:sz w:val="21"/>
              </w:rPr>
              <w:t>年农贸市场快检项目适用范围及重点品种》，且重点品种筛查批次所占总批次数比例不少于</w:t>
            </w:r>
            <w:r>
              <w:rPr>
                <w:sz w:val="21"/>
              </w:rPr>
              <w:t>50%</w:t>
            </w:r>
            <w:r>
              <w:rPr>
                <w:sz w:val="21"/>
              </w:rPr>
              <w:t>。（适用范围和重点品种根据广东省市场监督管理局最新文件要求实时进行调整）</w:t>
            </w:r>
          </w:p>
          <w:p>
            <w:pPr>
              <w:jc w:val="both"/>
            </w:pPr>
            <w:r>
              <w:rPr>
                <w:sz w:val="21"/>
              </w:rPr>
              <w:t>（</w:t>
            </w:r>
            <w:r>
              <w:rPr>
                <w:sz w:val="21"/>
              </w:rPr>
              <w:t>4</w:t>
            </w:r>
            <w:r>
              <w:rPr>
                <w:sz w:val="21"/>
              </w:rPr>
              <w:t>）快检检测项目开展情况：①蔬菜农残酶抑制项目必须使用酶抑制率法（分光光度法），②每天蔬菜快检检测项目包括农残酶抑制项目和不少于</w:t>
            </w:r>
            <w:r>
              <w:rPr>
                <w:sz w:val="21"/>
              </w:rPr>
              <w:t>2</w:t>
            </w:r>
            <w:r>
              <w:rPr>
                <w:sz w:val="21"/>
              </w:rPr>
              <w:t>种农残胶体金试纸条法项目，③每月农残胶体金试纸条法覆盖检测项目不少于</w:t>
            </w:r>
            <w:r>
              <w:rPr>
                <w:sz w:val="21"/>
              </w:rPr>
              <w:t>7</w:t>
            </w:r>
            <w:r>
              <w:rPr>
                <w:sz w:val="21"/>
              </w:rPr>
              <w:t>项，原则上全年每种农残胶体金试纸条法检测项目检测批次均衡分布，④每月兽残覆盖检测项目不少于</w:t>
            </w:r>
            <w:r>
              <w:rPr>
                <w:sz w:val="21"/>
              </w:rPr>
              <w:t>4</w:t>
            </w:r>
            <w:r>
              <w:rPr>
                <w:sz w:val="21"/>
              </w:rPr>
              <w:t>项（其中瘦肉精、硝基呋喃类检测项目以一个检测项目计），抽检内脏品种批次不少于瘦肉精快检项目批次的</w:t>
            </w:r>
            <w:r>
              <w:rPr>
                <w:sz w:val="21"/>
              </w:rPr>
              <w:t>50%</w:t>
            </w:r>
            <w:r>
              <w:rPr>
                <w:sz w:val="21"/>
              </w:rPr>
              <w:t>，瘦肉精检测项目需覆盖盐酸克伦特罗、莱克多巴胺、沙丁胺醇项目，检测的快检批次数原则上不少于禽畜肉类快检批次数的</w:t>
            </w:r>
            <w:r>
              <w:rPr>
                <w:sz w:val="21"/>
              </w:rPr>
              <w:t>30%</w:t>
            </w:r>
            <w:r>
              <w:rPr>
                <w:sz w:val="21"/>
              </w:rPr>
              <w:t>，氯霉素、恩诺沙星等项目的快检批次数不少于禽畜肉类快检批次数的</w:t>
            </w:r>
            <w:r>
              <w:rPr>
                <w:sz w:val="21"/>
              </w:rPr>
              <w:t>30%</w:t>
            </w:r>
            <w:r>
              <w:rPr>
                <w:sz w:val="21"/>
              </w:rPr>
              <w:t>。</w:t>
            </w:r>
          </w:p>
        </w:tc>
      </w:tr>
      <w:tr>
        <w:tc>
          <w:tcPr>
            <w:tcW w:type="dxa" w:w="2076"/>
          </w:tcPr>
          <w:p>
            <w:r>
              <w:rPr/>
              <w:t>★</w:t>
            </w:r>
          </w:p>
        </w:tc>
        <w:tc>
          <w:tcPr>
            <w:tcW w:type="dxa" w:w="415"/>
          </w:tcPr>
          <w:p>
            <w:r>
              <w:rPr/>
              <w:t>3</w:t>
            </w:r>
          </w:p>
        </w:tc>
        <w:tc>
          <w:tcPr>
            <w:tcW w:type="dxa" w:w="5814"/>
          </w:tcPr>
          <w:p>
            <w:pPr>
              <w:jc w:val="both"/>
            </w:pPr>
            <w:r>
              <w:rPr>
                <w:sz w:val="21"/>
              </w:rPr>
              <w:t>检测试剂采购和使用</w:t>
            </w:r>
          </w:p>
          <w:p>
            <w:pPr>
              <w:jc w:val="both"/>
            </w:pPr>
            <w:r>
              <w:rPr>
                <w:sz w:val="21"/>
              </w:rPr>
              <w:t>（一）所有批次的试剂产品由中标人提供，中标人必须采购和使用质量合格、来源合法的快检试剂产品，留存采购快检试剂合同并做好出入库台账（包括名称、厂家、数量、批号、日期），采购的试剂量与所承接任务相匹配，检测所用快检试剂和出入库记录须相符。</w:t>
            </w:r>
          </w:p>
          <w:p>
            <w:pPr>
              <w:jc w:val="both"/>
            </w:pPr>
            <w:r>
              <w:rPr>
                <w:sz w:val="21"/>
              </w:rPr>
              <w:t>（二）中标人所使用的试剂产品必须经过技术验收，并做好验收记录。试剂产品要严格按试剂盒规定条件进行保存，保证投放的试剂产品质量稳定、可靠。定期清理临期、过期试剂并做好处理记录。快检试剂产品不在保质期内的不得使用。如中标人所采购的快检试剂经技术评价不符合要求，中标人应立即停止使用并更换快检试剂。</w:t>
            </w:r>
          </w:p>
        </w:tc>
      </w:tr>
      <w:tr>
        <w:tc>
          <w:tcPr>
            <w:tcW w:type="dxa" w:w="2076"/>
          </w:tcPr>
          <w:p/>
        </w:tc>
        <w:tc>
          <w:tcPr>
            <w:tcW w:type="dxa" w:w="415"/>
          </w:tcPr>
          <w:p>
            <w:r>
              <w:rPr/>
              <w:t>4</w:t>
            </w:r>
          </w:p>
        </w:tc>
        <w:tc>
          <w:tcPr>
            <w:tcW w:type="dxa" w:w="5814"/>
          </w:tcPr>
          <w:p>
            <w:pPr>
              <w:jc w:val="both"/>
            </w:pPr>
            <w:r>
              <w:rPr>
                <w:sz w:val="21"/>
              </w:rPr>
              <w:t>标准物质及试剂耗材</w:t>
            </w:r>
          </w:p>
          <w:p>
            <w:pPr>
              <w:jc w:val="both"/>
            </w:pPr>
            <w:r>
              <w:rPr>
                <w:sz w:val="21"/>
              </w:rPr>
              <w:t>中标人购买标准物质和关键试剂耗材时，应具备厂家提供的有效证明或标准物质证书，并按相关程序进行验收、使用、保管，确保其溯源性。其应有固定的存放地点及设备，并有相应的使用记录。检验室中各种溶液应有明确标识，并注明试剂名称、浓度、配置时间、配置人员、有效期等。鼓励中标人开发更多更为便捷实用的快检设备及方法。</w:t>
            </w:r>
          </w:p>
        </w:tc>
      </w:tr>
      <w:tr>
        <w:tc>
          <w:tcPr>
            <w:tcW w:type="dxa" w:w="2076"/>
          </w:tcPr>
          <w:p/>
        </w:tc>
        <w:tc>
          <w:tcPr>
            <w:tcW w:type="dxa" w:w="415"/>
          </w:tcPr>
          <w:p>
            <w:r>
              <w:rPr/>
              <w:t>5</w:t>
            </w:r>
          </w:p>
        </w:tc>
        <w:tc>
          <w:tcPr>
            <w:tcW w:type="dxa" w:w="5814"/>
          </w:tcPr>
          <w:p>
            <w:pPr>
              <w:jc w:val="both"/>
            </w:pPr>
            <w:r>
              <w:rPr>
                <w:sz w:val="21"/>
              </w:rPr>
              <w:t>数据对比分析及问题样品确认服务</w:t>
            </w:r>
          </w:p>
          <w:p>
            <w:pPr>
              <w:jc w:val="both"/>
            </w:pPr>
            <w:r>
              <w:rPr>
                <w:sz w:val="21"/>
              </w:rPr>
              <w:t>（一）快检结果验证：项目服务期间，中标人服务期内至少开展</w:t>
            </w:r>
            <w:r>
              <w:rPr>
                <w:sz w:val="21"/>
              </w:rPr>
              <w:t>100</w:t>
            </w:r>
            <w:r>
              <w:rPr>
                <w:sz w:val="21"/>
              </w:rPr>
              <w:t>批次快检结果与实验室定量结果的验证，以确保快检实验室检测数控的准确（验证样品不得全部为快检阴性样品），并及时将相关书面资料提供给属地市场监管所及佛山市顺德区市场监督管理局。</w:t>
            </w:r>
          </w:p>
          <w:p>
            <w:pPr>
              <w:jc w:val="both"/>
            </w:pPr>
            <w:r>
              <w:rPr>
                <w:sz w:val="21"/>
              </w:rPr>
              <w:t>（二）总结分析：中标人需每月对检测结果进行总结分析，查找问题所在，发现系统性或突出安全隐患，为下一阶段重点监测指明方向。每月月初对上月开展快速检测项目进行总结分析并出具分析报告，项目期中和期末时出具项目中期和终期总结报告。</w:t>
            </w:r>
          </w:p>
          <w:p>
            <w:pPr>
              <w:jc w:val="both"/>
            </w:pPr>
            <w:r>
              <w:rPr>
                <w:sz w:val="21"/>
              </w:rPr>
              <w:t>（三）突发应急：中标人需对顺德区突发性的食品安全事件提供应急抽样检验及专家技术支持，并参与顺德区内重大活动餐饮服务食品安全保障工作。预计项目服务期间约</w:t>
            </w:r>
            <w:r>
              <w:rPr>
                <w:sz w:val="21"/>
              </w:rPr>
              <w:t>10</w:t>
            </w:r>
            <w:r>
              <w:rPr>
                <w:sz w:val="21"/>
              </w:rPr>
              <w:t>起突发事件，</w:t>
            </w:r>
            <w:r>
              <w:rPr>
                <w:sz w:val="21"/>
              </w:rPr>
              <w:t>35</w:t>
            </w:r>
            <w:r>
              <w:rPr>
                <w:sz w:val="21"/>
              </w:rPr>
              <w:t>起重大活动餐饮保障任务。</w:t>
            </w:r>
          </w:p>
          <w:p>
            <w:pPr>
              <w:jc w:val="both"/>
            </w:pPr>
            <w:r>
              <w:rPr>
                <w:sz w:val="21"/>
              </w:rPr>
              <w:t>（四）问题样品确认及监督抽检：中标人需对广东省市场监督管理局明确规定快速检测结果呈阳性应启动抽样检验程序的检测项目检出的不合格样品以及被抽样单位有异议提出复检的不合格样品进行法检确认分析，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市场开办者按照双方协议采取降低信用、暂停经营或者清退等处理措施。相关法检报告中标人应及时提供给属地市场监管所依法处理。</w:t>
            </w:r>
          </w:p>
        </w:tc>
      </w:tr>
      <w:tr>
        <w:tc>
          <w:tcPr>
            <w:tcW w:type="dxa" w:w="2076"/>
          </w:tcPr>
          <w:p/>
        </w:tc>
        <w:tc>
          <w:tcPr>
            <w:tcW w:type="dxa" w:w="415"/>
          </w:tcPr>
          <w:p>
            <w:r>
              <w:rPr/>
              <w:t>6</w:t>
            </w:r>
          </w:p>
        </w:tc>
        <w:tc>
          <w:tcPr>
            <w:tcW w:type="dxa" w:w="5814"/>
          </w:tcPr>
          <w:p>
            <w:pPr>
              <w:jc w:val="both"/>
            </w:pPr>
            <w:r>
              <w:rPr>
                <w:sz w:val="21"/>
              </w:rPr>
              <w:t>抽样及快检结果公示</w:t>
            </w:r>
          </w:p>
          <w:p>
            <w:pPr>
              <w:jc w:val="both"/>
            </w:pPr>
            <w:r>
              <w:rPr>
                <w:sz w:val="21"/>
              </w:rPr>
              <w:t>（一）原则上全年不间断开展快检工作，每个政府实验室和每台快检车每周开展快检不少于</w:t>
            </w:r>
            <w:r>
              <w:rPr>
                <w:sz w:val="21"/>
              </w:rPr>
              <w:t>5</w:t>
            </w:r>
            <w:r>
              <w:rPr>
                <w:sz w:val="21"/>
              </w:rPr>
              <w:t>天。</w:t>
            </w:r>
          </w:p>
          <w:p>
            <w:pPr>
              <w:jc w:val="both"/>
            </w:pPr>
            <w:r>
              <w:rPr>
                <w:sz w:val="21"/>
              </w:rPr>
              <w:t>（二）抽样记录应完整规范，抽样记录信息包括日期、品种名称、被抽样单位信息（包括名称、联系方式及地址）、产品供货商、抽样人及被抽样人签名等。</w:t>
            </w:r>
          </w:p>
          <w:p>
            <w:pPr>
              <w:jc w:val="both"/>
            </w:pPr>
            <w:r>
              <w:rPr>
                <w:sz w:val="21"/>
              </w:rPr>
              <w:t>（三）快检检测原始记录须规范且可溯。实验记录要注明日期、样品名称、检测项目、检测结果、所用快检试剂产品批号等，检测数据与设备数据、留档照片、上报数据须一致。</w:t>
            </w:r>
          </w:p>
          <w:p>
            <w:pPr>
              <w:jc w:val="both"/>
            </w:pPr>
            <w:r>
              <w:rPr>
                <w:sz w:val="21"/>
              </w:rPr>
              <w:t>（四）及时公示快检信息。原则上应在每天上午</w:t>
            </w:r>
            <w:r>
              <w:rPr>
                <w:sz w:val="21"/>
              </w:rPr>
              <w:t>10:00</w:t>
            </w:r>
            <w:r>
              <w:rPr>
                <w:sz w:val="21"/>
              </w:rPr>
              <w:t>前完成快检，并将快检结果送达经营者。在其经营场所主要出入口的显著位置通过张贴或电子屏幕等方式及时公示当天食用农产品快检结果，包括样品名称、被抽样单位名称及地址、检验项目、检验结果、不合格产品处理情况等，引导群众消费，督促经营者自觉把好食用农产品质量安全关。公示内容与检测结果要一致，并做好公示结果照片记录。</w:t>
            </w:r>
          </w:p>
          <w:p>
            <w:pPr>
              <w:jc w:val="both"/>
            </w:pPr>
            <w:r>
              <w:rPr>
                <w:sz w:val="21"/>
              </w:rPr>
              <w:t>（五）批发市场内发现无进货凭证和无承诺达标合格证或者其他质量合格凭证（市场开办者已落实入场查验快检合格除外）的产品，快检人员应当立即报告所在地市场监管部门责令市场开办者依法处理，不得开展快检。</w:t>
            </w:r>
          </w:p>
        </w:tc>
      </w:tr>
      <w:tr>
        <w:tc>
          <w:tcPr>
            <w:tcW w:type="dxa" w:w="2076"/>
          </w:tcPr>
          <w:p/>
        </w:tc>
        <w:tc>
          <w:tcPr>
            <w:tcW w:type="dxa" w:w="415"/>
          </w:tcPr>
          <w:p>
            <w:r>
              <w:rPr/>
              <w:t>7</w:t>
            </w:r>
          </w:p>
        </w:tc>
        <w:tc>
          <w:tcPr>
            <w:tcW w:type="dxa" w:w="5814"/>
          </w:tcPr>
          <w:p>
            <w:pPr>
              <w:jc w:val="both"/>
            </w:pPr>
            <w:r>
              <w:rPr>
                <w:sz w:val="21"/>
              </w:rPr>
              <w:t>问题发现及处理</w:t>
            </w:r>
          </w:p>
          <w:p>
            <w:pPr>
              <w:jc w:val="both"/>
            </w:pPr>
            <w:r>
              <w:rPr>
                <w:sz w:val="21"/>
              </w:rPr>
              <w:t>（一）本包组共计快速检测食用农产品</w:t>
            </w:r>
            <w:r>
              <w:rPr>
                <w:sz w:val="21"/>
              </w:rPr>
              <w:t>85000</w:t>
            </w:r>
            <w:r>
              <w:rPr>
                <w:sz w:val="21"/>
              </w:rPr>
              <w:t>批次，项目服务期间快检阳性发现率不得低于</w:t>
            </w:r>
            <w:r>
              <w:rPr>
                <w:sz w:val="21"/>
              </w:rPr>
              <w:t>1.5%</w:t>
            </w:r>
            <w:r>
              <w:rPr>
                <w:sz w:val="21"/>
              </w:rPr>
              <w:t>。</w:t>
            </w:r>
          </w:p>
          <w:p>
            <w:pPr>
              <w:jc w:val="both"/>
            </w:pPr>
            <w:r>
              <w:rPr>
                <w:sz w:val="21"/>
              </w:rPr>
              <w:t>（二）中标人应于每月初</w:t>
            </w:r>
            <w:r>
              <w:rPr>
                <w:sz w:val="21"/>
              </w:rPr>
              <w:t>3</w:t>
            </w:r>
            <w:r>
              <w:rPr>
                <w:sz w:val="21"/>
              </w:rPr>
              <w:t>个工作日内提交抽检计划给采购人，每月月底对当月开展快速检测项目进行总结分析并于下月初</w:t>
            </w:r>
            <w:r>
              <w:rPr>
                <w:sz w:val="21"/>
              </w:rPr>
              <w:t>5</w:t>
            </w:r>
            <w:r>
              <w:rPr>
                <w:sz w:val="21"/>
              </w:rPr>
              <w:t>个工作日内出具上月分析报告。分析报告包含当月发现的问题样品检测情况，并针对当季当地特点对后续检测样本的采集、检测方法提出建议，对潜在高风险品种进行重点抽检，确保食品安全检测工作有的放矢。</w:t>
            </w:r>
          </w:p>
          <w:p>
            <w:pPr>
              <w:jc w:val="both"/>
            </w:pPr>
            <w:r>
              <w:rPr>
                <w:sz w:val="21"/>
              </w:rPr>
              <w:t>（三）中标人要对检测人员的检测工作量、规范性、合格率进行汇总分析，定期开展交叉比对，并建立相关的考核制度。</w:t>
            </w:r>
          </w:p>
        </w:tc>
      </w:tr>
      <w:tr>
        <w:tc>
          <w:tcPr>
            <w:tcW w:type="dxa" w:w="2076"/>
          </w:tcPr>
          <w:p/>
        </w:tc>
        <w:tc>
          <w:tcPr>
            <w:tcW w:type="dxa" w:w="415"/>
          </w:tcPr>
          <w:p>
            <w:r>
              <w:rPr/>
              <w:t>8</w:t>
            </w:r>
          </w:p>
        </w:tc>
        <w:tc>
          <w:tcPr>
            <w:tcW w:type="dxa" w:w="5814"/>
          </w:tcPr>
          <w:p>
            <w:pPr>
              <w:jc w:val="both"/>
            </w:pPr>
            <w:r>
              <w:rPr>
                <w:sz w:val="21"/>
              </w:rPr>
              <w:t>抽样数据服务</w:t>
            </w:r>
          </w:p>
          <w:p>
            <w:pPr>
              <w:jc w:val="both"/>
            </w:pPr>
            <w:r>
              <w:rPr>
                <w:sz w:val="21"/>
              </w:rPr>
              <w:t>（一）加强抽样信息管理，检测平台对接顺德区企业法人库和许可库。</w:t>
            </w:r>
          </w:p>
          <w:p>
            <w:pPr>
              <w:jc w:val="both"/>
            </w:pPr>
            <w:r>
              <w:rPr>
                <w:sz w:val="21"/>
              </w:rPr>
              <w:t>（二）完善抽样过程填报信息，包括被抽样单位（与企业法人库、许可库信息一致）的名称、联系方式及地址、许可证号、抽样时间、抽样人员、抽样产品名称、类别、原产地信息等。</w:t>
            </w:r>
          </w:p>
        </w:tc>
      </w:tr>
      <w:tr>
        <w:tc>
          <w:tcPr>
            <w:tcW w:type="dxa" w:w="2076"/>
          </w:tcPr>
          <w:p/>
        </w:tc>
        <w:tc>
          <w:tcPr>
            <w:tcW w:type="dxa" w:w="415"/>
          </w:tcPr>
          <w:p>
            <w:r>
              <w:rPr/>
              <w:t>9</w:t>
            </w:r>
          </w:p>
        </w:tc>
        <w:tc>
          <w:tcPr>
            <w:tcW w:type="dxa" w:w="5814"/>
          </w:tcPr>
          <w:p>
            <w:pPr>
              <w:jc w:val="both"/>
            </w:pPr>
            <w:r>
              <w:rPr>
                <w:sz w:val="21"/>
              </w:rPr>
              <w:t>其他技术要求</w:t>
            </w:r>
          </w:p>
          <w:p>
            <w:pPr>
              <w:jc w:val="both"/>
            </w:pPr>
            <w:r>
              <w:rPr>
                <w:sz w:val="21"/>
              </w:rPr>
              <w:t>（一）移</w:t>
            </w:r>
            <w:r>
              <w:rPr>
                <w:sz w:val="21"/>
              </w:rPr>
              <w:t>动检测车保障能力</w:t>
            </w:r>
          </w:p>
          <w:p>
            <w:pPr>
              <w:jc w:val="both"/>
            </w:pPr>
            <w:r>
              <w:rPr>
                <w:sz w:val="21"/>
              </w:rPr>
              <w:t>服务期内，采购人可向中标人提供</w:t>
            </w:r>
            <w:r>
              <w:rPr>
                <w:sz w:val="21"/>
              </w:rPr>
              <w:t>1</w:t>
            </w:r>
            <w:r>
              <w:rPr>
                <w:sz w:val="21"/>
              </w:rPr>
              <w:t>台移动检测车用于完成本项目任务，为保证项目的正常运行，中标人应根据任务需要适当增加移动检测车的数量配置，强化移动检测车的保障能力。项目服务期间车辆的养路费、保险费、燃油费、保养维修费，所有检测设备设施的计量检定费、维修保养费、清洁费，检测废水废物处理费等由中标人全部承担。</w:t>
            </w:r>
          </w:p>
          <w:p>
            <w:pPr>
              <w:jc w:val="both"/>
            </w:pPr>
            <w:r>
              <w:rPr>
                <w:sz w:val="21"/>
              </w:rPr>
              <w:t>投入本项目移动检测车的基本要求（包括但不限于）：移动检测车长度不小于</w:t>
            </w:r>
            <w:r>
              <w:rPr>
                <w:sz w:val="21"/>
              </w:rPr>
              <w:t>4.8</w:t>
            </w:r>
            <w:r>
              <w:rPr>
                <w:sz w:val="21"/>
              </w:rPr>
              <w:t>米，改装后保留</w:t>
            </w:r>
            <w:r>
              <w:rPr>
                <w:sz w:val="21"/>
              </w:rPr>
              <w:t>4</w:t>
            </w:r>
            <w:r>
              <w:rPr>
                <w:sz w:val="21"/>
              </w:rPr>
              <w:t>个乘员座，后部检测设备均为便携结构，放置在车后部，平时巡回穿梭在抽检现场，部分设备可以在现场采用小型仪器检测提取快速检测结果。改装后具有以下特点：</w:t>
            </w:r>
          </w:p>
          <w:p>
            <w:pPr>
              <w:jc w:val="both"/>
            </w:pPr>
            <w:r>
              <w:rPr>
                <w:sz w:val="21"/>
              </w:rPr>
              <w:t>1</w:t>
            </w:r>
            <w:r>
              <w:rPr>
                <w:sz w:val="21"/>
              </w:rPr>
              <w:t>、具有流动实验室功能，能完成多项常规食品理化检测；</w:t>
            </w:r>
          </w:p>
          <w:p>
            <w:pPr>
              <w:jc w:val="both"/>
            </w:pPr>
            <w:r>
              <w:rPr>
                <w:sz w:val="21"/>
              </w:rPr>
              <w:t>2</w:t>
            </w:r>
            <w:r>
              <w:rPr>
                <w:sz w:val="21"/>
              </w:rPr>
              <w:t>、安装便携式食品安全快速检测箱，提高食品快速检测的</w:t>
            </w:r>
            <w:r>
              <w:rPr>
                <w:sz w:val="21"/>
              </w:rPr>
              <w:t>质量；</w:t>
            </w:r>
          </w:p>
          <w:p>
            <w:pPr>
              <w:jc w:val="both"/>
            </w:pPr>
            <w:r>
              <w:rPr>
                <w:sz w:val="21"/>
              </w:rPr>
              <w:t>3</w:t>
            </w:r>
            <w:r>
              <w:rPr>
                <w:sz w:val="21"/>
              </w:rPr>
              <w:t>、优异的机动能力，能够适应绝大多数的道路状况；</w:t>
            </w:r>
          </w:p>
          <w:p>
            <w:pPr>
              <w:jc w:val="both"/>
            </w:pPr>
            <w:r>
              <w:rPr>
                <w:sz w:val="21"/>
              </w:rPr>
              <w:t>4</w:t>
            </w:r>
            <w:r>
              <w:rPr>
                <w:sz w:val="21"/>
              </w:rPr>
              <w:t>、具有监控、通讯传输功能，可进行现场取证、笔录、实时监控和远程传输；</w:t>
            </w:r>
          </w:p>
          <w:p>
            <w:pPr>
              <w:jc w:val="both"/>
            </w:pPr>
            <w:r>
              <w:rPr>
                <w:sz w:val="21"/>
              </w:rPr>
              <w:t>5</w:t>
            </w:r>
            <w:r>
              <w:rPr>
                <w:sz w:val="21"/>
              </w:rPr>
              <w:t>、车载设备布局在后座，含电源和检测设备，保留前</w:t>
            </w:r>
            <w:r>
              <w:rPr>
                <w:sz w:val="21"/>
              </w:rPr>
              <w:t>2</w:t>
            </w:r>
            <w:r>
              <w:rPr>
                <w:sz w:val="21"/>
              </w:rPr>
              <w:t>排座椅，</w:t>
            </w:r>
            <w:r>
              <w:rPr>
                <w:sz w:val="21"/>
              </w:rPr>
              <w:t>4</w:t>
            </w:r>
            <w:r>
              <w:rPr>
                <w:sz w:val="21"/>
              </w:rPr>
              <w:t>人，其他位置可以布局设备，定制便携组合仪器箱，平时把这些检测仪器放进箱子内，可以安放多个小型仪器，箱子自带可以开启和关闭的操作平台，箱子固定在车内后，可打开后可以变成仪器操作台面；要求不锈钢或铝合金包边，防水轻便材料制作，箱子可以手提和地面滑动</w:t>
            </w:r>
            <w:r>
              <w:rPr>
                <w:sz w:val="21"/>
              </w:rPr>
              <w:t>;</w:t>
            </w:r>
            <w:r>
              <w:rPr>
                <w:sz w:val="21"/>
              </w:rPr>
              <w:t>内部仪器必须有良好避震；</w:t>
            </w:r>
          </w:p>
          <w:p>
            <w:pPr>
              <w:jc w:val="both"/>
            </w:pPr>
            <w:r>
              <w:rPr>
                <w:sz w:val="21"/>
              </w:rPr>
              <w:t>6</w:t>
            </w:r>
            <w:r>
              <w:rPr>
                <w:sz w:val="21"/>
              </w:rPr>
              <w:t>、电源系统，考虑便携储能系统作为主用电源，整车可以采用市电、储能系统</w:t>
            </w:r>
            <w:r>
              <w:rPr>
                <w:sz w:val="21"/>
              </w:rPr>
              <w:t>2</w:t>
            </w:r>
            <w:r>
              <w:rPr>
                <w:sz w:val="21"/>
              </w:rPr>
              <w:t>路电源保障该车的作业用电；安装车载综合电源输出插座板，内含有漏电保护、过载保护等功能，配套多路插座等，确保各路电源</w:t>
            </w:r>
            <w:r>
              <w:rPr>
                <w:sz w:val="21"/>
              </w:rPr>
              <w:t>安全使用；</w:t>
            </w:r>
          </w:p>
          <w:p>
            <w:pPr>
              <w:jc w:val="both"/>
            </w:pPr>
            <w:r>
              <w:rPr>
                <w:sz w:val="21"/>
              </w:rPr>
              <w:t>7</w:t>
            </w:r>
            <w:r>
              <w:rPr>
                <w:sz w:val="21"/>
              </w:rPr>
              <w:t>、为确保承载仪器箱子的位置不变形，地板需要在原来的基础加装反方复合防水汽车地板再铺铝合金花纹板，要求该板活动可以拆卸，确保车内设备布局合理，重心分布合理；</w:t>
            </w:r>
          </w:p>
          <w:p>
            <w:pPr>
              <w:jc w:val="both"/>
            </w:pPr>
            <w:r>
              <w:rPr>
                <w:sz w:val="21"/>
              </w:rPr>
              <w:t>（二）每台快检车需配备的设备（包括检测仪器、辅助器具、冷藏冷冻设备、前处理设备、办公设备等）数量和质量性能应满足检测工作任务的需要。</w:t>
            </w:r>
          </w:p>
          <w:p>
            <w:pPr>
              <w:jc w:val="both"/>
            </w:pPr>
            <w:r>
              <w:rPr>
                <w:sz w:val="21"/>
              </w:rPr>
              <w:t>（三）每台移动检测车（快检车）需配置至少</w:t>
            </w:r>
            <w:r>
              <w:rPr>
                <w:sz w:val="21"/>
              </w:rPr>
              <w:t>2</w:t>
            </w:r>
            <w:r>
              <w:rPr>
                <w:sz w:val="21"/>
              </w:rPr>
              <w:t>名检测人员。所有检测人员需经过培训并考核合格，持证上岗。中标人应加强对快检车日常食用农产品快检工作的监管及考核。定期针对采购和使用试剂产品的出入库台账记录、每月快检任务完成情况、快检操作流程、抽样和结果原始记录、检测结果上报及公示等进行督查和考核，确保快检工作质量。</w:t>
            </w:r>
          </w:p>
          <w:p>
            <w:pPr>
              <w:jc w:val="both"/>
            </w:pPr>
            <w:r>
              <w:rPr>
                <w:sz w:val="21"/>
              </w:rPr>
              <w:t>（四）项目履行期间，广东省市场监督管理局、佛山市市场监督管理局快检文件规定有更新的，中标人应按广东省市场监督管理局、佛山市市场监督管理局最新要求执行</w:t>
            </w:r>
            <w:r>
              <w:rPr>
                <w:sz w:val="21"/>
              </w:rPr>
              <w:t>。</w:t>
            </w:r>
          </w:p>
          <w:p>
            <w:pPr>
              <w:jc w:val="both"/>
            </w:pPr>
            <w:r>
              <w:rPr>
                <w:sz w:val="21"/>
              </w:rPr>
              <w:t>（五）平台的情况反馈：快检平台出现问题时及时反馈给采购人。</w:t>
            </w:r>
          </w:p>
          <w:p>
            <w:pPr>
              <w:jc w:val="both"/>
            </w:pPr>
            <w:r>
              <w:rPr>
                <w:sz w:val="21"/>
              </w:rPr>
              <w:t>（六）其他根据工作提出的服务技术要求：如食品安全宣传活动中的咨询、检测、宣讲等服务；新闻发布、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tc>
      </w:tr>
      <w:tr>
        <w:tc>
          <w:tcPr>
            <w:tcW w:type="dxa" w:w="2076"/>
          </w:tcPr>
          <w:p/>
        </w:tc>
        <w:tc>
          <w:tcPr>
            <w:tcW w:type="dxa" w:w="415"/>
          </w:tcPr>
          <w:p>
            <w:r>
              <w:rPr/>
              <w:t>10</w:t>
            </w:r>
          </w:p>
        </w:tc>
        <w:tc>
          <w:tcPr>
            <w:tcW w:type="dxa" w:w="5814"/>
          </w:tcPr>
          <w:p>
            <w:pPr>
              <w:jc w:val="both"/>
            </w:pPr>
            <w:r>
              <w:rPr>
                <w:sz w:val="21"/>
              </w:rPr>
              <w:t>组织管理</w:t>
            </w:r>
          </w:p>
          <w:p>
            <w:pPr>
              <w:jc w:val="both"/>
            </w:pPr>
            <w:r>
              <w:rPr>
                <w:sz w:val="21"/>
              </w:rPr>
              <w:t>（一）快检实验室应有明确的组织架构和管理结构，其职能是通过检测及快速筛查手段，对流通环节食用农产品的质量安全进行监督。应具有必要的场地、人员、设施设备等条件，以保障检测工作的正常运行。制定相应的管理体系，包括其检验室职能、岗位职责、年度及月度抽样检测计划等。工作制度和检测质量控制制度，包括仪器管理制度、标准物质及试剂耗材管理制度、抽样程序、检测流程、检验项目操作程序、检测结果处理流程、检测记录管理制度等。</w:t>
            </w:r>
          </w:p>
          <w:p>
            <w:pPr>
              <w:jc w:val="both"/>
            </w:pPr>
            <w:r>
              <w:rPr>
                <w:sz w:val="21"/>
              </w:rPr>
              <w:t>（二）为确保中标人检测工作的诚信管理、质量稳定、人员安全、生产安全、商业合规等，中标人需尽可能的取得其他综合性的管理体系认证，如：质量管理体系、职业健康安全管理体系、环境管理体系认证证书等认证证书。</w:t>
            </w:r>
          </w:p>
        </w:tc>
      </w:tr>
      <w:tr>
        <w:tc>
          <w:tcPr>
            <w:tcW w:type="dxa" w:w="2076"/>
          </w:tcPr>
          <w:p/>
        </w:tc>
        <w:tc>
          <w:tcPr>
            <w:tcW w:type="dxa" w:w="415"/>
          </w:tcPr>
          <w:p>
            <w:r>
              <w:rPr/>
              <w:t>11</w:t>
            </w:r>
          </w:p>
        </w:tc>
        <w:tc>
          <w:tcPr>
            <w:tcW w:type="dxa" w:w="5814"/>
          </w:tcPr>
          <w:p>
            <w:pPr>
              <w:jc w:val="both"/>
            </w:pPr>
            <w:r>
              <w:rPr>
                <w:sz w:val="21"/>
              </w:rPr>
              <w:t>设施与环境</w:t>
            </w:r>
          </w:p>
          <w:p>
            <w:pPr>
              <w:jc w:val="both"/>
            </w:pPr>
            <w:r>
              <w:rPr>
                <w:sz w:val="21"/>
              </w:rPr>
              <w:t>中标人应具备独立的工作场所，并应根据市场销售的可食用农产品种类，配备包括处理、检测、保存、废弃物处理、数据处理、信息传输等设施和设备。检测场所的温湿度应满足检测方法的要求，同时又要防止交叉污染、保证检测员的身体健康。具备水、电、气、照明、通风、通讯、网络及安全应急等基础设施，还应配备防水、防火、防腐蚀、耐热及易清洗等条件的实验台。移动检测车（快检车）车内应保持良好的清洁及整齐度。</w:t>
            </w:r>
          </w:p>
        </w:tc>
      </w:tr>
      <w:tr>
        <w:tc>
          <w:tcPr>
            <w:tcW w:type="dxa" w:w="2076"/>
          </w:tcPr>
          <w:p/>
        </w:tc>
        <w:tc>
          <w:tcPr>
            <w:tcW w:type="dxa" w:w="415"/>
          </w:tcPr>
          <w:p>
            <w:r>
              <w:rPr/>
              <w:t>12</w:t>
            </w:r>
          </w:p>
        </w:tc>
        <w:tc>
          <w:tcPr>
            <w:tcW w:type="dxa" w:w="5814"/>
          </w:tcPr>
          <w:p>
            <w:pPr>
              <w:jc w:val="both"/>
            </w:pPr>
            <w:r>
              <w:rPr>
                <w:sz w:val="21"/>
              </w:rPr>
              <w:t>设施与设备</w:t>
            </w:r>
          </w:p>
          <w:p>
            <w:pPr>
              <w:jc w:val="both"/>
            </w:pPr>
            <w:r>
              <w:rPr>
                <w:sz w:val="21"/>
              </w:rPr>
              <w:t>（一）</w:t>
            </w:r>
            <w:r>
              <w:rPr>
                <w:sz w:val="21"/>
              </w:rPr>
              <w:t>中标人</w:t>
            </w:r>
            <w:r>
              <w:rPr>
                <w:sz w:val="21"/>
              </w:rPr>
              <w:t>应配备对经营农产品安全质量指标进行检测及快速筛查的仪器设备，保存试剂或样品的冷藏冷冻设备，以及必要的辅助器具（水浴锅、离心机、固相萃取装置、氮吹</w:t>
            </w:r>
            <w:r>
              <w:rPr>
                <w:sz w:val="21"/>
              </w:rPr>
              <w:t>/</w:t>
            </w:r>
            <w:r>
              <w:rPr>
                <w:sz w:val="21"/>
              </w:rPr>
              <w:t>空吹仪</w:t>
            </w:r>
            <w:r>
              <w:rPr>
                <w:sz w:val="21"/>
              </w:rPr>
              <w:t>等）。中标人配备的设备（包括检测仪器、辅助器具、冷藏冷冻设备、前处理设备、办公设备等）数量和质量性能应满足检测工作任务的需要。</w:t>
            </w:r>
          </w:p>
          <w:p>
            <w:pPr>
              <w:jc w:val="both"/>
            </w:pPr>
            <w:r>
              <w:rPr>
                <w:sz w:val="21"/>
              </w:rPr>
              <w:t>（二）为防范市场销售注水生鲜肉等违法违规行为，在项目服务期间，中标人还需为每台快检车分别配备</w:t>
            </w:r>
            <w:r>
              <w:rPr>
                <w:sz w:val="21"/>
              </w:rPr>
              <w:t>1</w:t>
            </w:r>
            <w:r>
              <w:rPr>
                <w:sz w:val="21"/>
              </w:rPr>
              <w:t>台符合相关检测标准要求的肉类水分快速检测仪器。中标人应将检测设备送有相</w:t>
            </w:r>
            <w:r>
              <w:rPr>
                <w:sz w:val="21"/>
              </w:rPr>
              <w:t>关资质的计量检定校准机构进行校准达到使用标准后，方可使用；仪器维护保养、检定校准，要形成相关记录，建立仪器设备档案。仪器设备还应具有相应的使用记录，如记录仪器的使用者、是否正常、检定校准、维护保养情况等；且检测设备参数设置与所开展项目要求符合。当仪器出现故障或发生异常时，应立即停止使用，直至故障排除并通过检定或校准表明其能正常工作，方可投入使用。</w:t>
            </w:r>
          </w:p>
        </w:tc>
      </w:tr>
      <w:tr>
        <w:tc>
          <w:tcPr>
            <w:tcW w:type="dxa" w:w="2076"/>
          </w:tcPr>
          <w:p/>
        </w:tc>
        <w:tc>
          <w:tcPr>
            <w:tcW w:type="dxa" w:w="415"/>
          </w:tcPr>
          <w:p>
            <w:r>
              <w:rPr/>
              <w:t>13</w:t>
            </w:r>
          </w:p>
        </w:tc>
        <w:tc>
          <w:tcPr>
            <w:tcW w:type="dxa" w:w="5814"/>
          </w:tcPr>
          <w:p>
            <w:pPr>
              <w:jc w:val="both"/>
            </w:pPr>
            <w:r>
              <w:rPr>
                <w:sz w:val="21"/>
              </w:rPr>
              <w:t>技术培训</w:t>
            </w:r>
          </w:p>
          <w:p>
            <w:pPr>
              <w:jc w:val="both"/>
            </w:pPr>
            <w:r>
              <w:rPr>
                <w:sz w:val="21"/>
              </w:rPr>
              <w:t>（一）中标人应对政府快检室和快检车的检测人员及集中交易市场的市场自建实验室的检测人员开展快检培训，确保快检人员熟练掌握快检操作技能，顺利完成快检任务。</w:t>
            </w:r>
          </w:p>
          <w:p>
            <w:pPr>
              <w:jc w:val="both"/>
            </w:pPr>
            <w:r>
              <w:rPr>
                <w:sz w:val="21"/>
              </w:rPr>
              <w:t>（二）建立快检培训和考核档案，经培训考核合格后，发放资格证，持证上岗。其中，对政府快检室和快检车的现有快检人员或新进快检人员应进行不少于</w:t>
            </w:r>
            <w:r>
              <w:rPr>
                <w:sz w:val="21"/>
              </w:rPr>
              <w:t>5</w:t>
            </w:r>
            <w:r>
              <w:rPr>
                <w:sz w:val="21"/>
              </w:rPr>
              <w:t>小时的技术培训；中标人进行技术培训的内容包括但不限于：</w:t>
            </w:r>
          </w:p>
          <w:p>
            <w:pPr>
              <w:jc w:val="both"/>
            </w:pPr>
            <w:r>
              <w:rPr>
                <w:sz w:val="21"/>
              </w:rPr>
              <w:t>1</w:t>
            </w:r>
            <w:r>
              <w:rPr>
                <w:sz w:val="21"/>
              </w:rPr>
              <w:t>、采购人制定相关快检工作文件的培训以及食品安全知识的培训；</w:t>
            </w:r>
          </w:p>
          <w:p>
            <w:pPr>
              <w:jc w:val="both"/>
            </w:pPr>
            <w:r>
              <w:rPr>
                <w:sz w:val="21"/>
              </w:rPr>
              <w:t>2</w:t>
            </w:r>
            <w:r>
              <w:rPr>
                <w:sz w:val="21"/>
              </w:rPr>
              <w:t>、快检设备设施（包括移液器）的使用与维护；</w:t>
            </w:r>
          </w:p>
          <w:p>
            <w:pPr>
              <w:jc w:val="both"/>
            </w:pPr>
            <w:r>
              <w:rPr>
                <w:sz w:val="21"/>
              </w:rPr>
              <w:t>3</w:t>
            </w:r>
            <w:r>
              <w:rPr>
                <w:sz w:val="21"/>
              </w:rPr>
              <w:t>、快检试剂盒说明书内容的培训，包括称样、震荡摇匀、离心、结果判读等操作步骤的培训；</w:t>
            </w:r>
          </w:p>
          <w:p>
            <w:pPr>
              <w:jc w:val="both"/>
            </w:pPr>
            <w:r>
              <w:rPr>
                <w:sz w:val="21"/>
              </w:rPr>
              <w:t>4</w:t>
            </w:r>
            <w:r>
              <w:rPr>
                <w:sz w:val="21"/>
              </w:rPr>
              <w:t>、快检试剂产品的管理、使用等培训；</w:t>
            </w:r>
          </w:p>
          <w:p>
            <w:pPr>
              <w:jc w:val="both"/>
            </w:pPr>
            <w:r>
              <w:rPr>
                <w:sz w:val="21"/>
              </w:rPr>
              <w:t>5</w:t>
            </w:r>
            <w:r>
              <w:rPr>
                <w:sz w:val="21"/>
              </w:rPr>
              <w:t>、快检信息管理系统的使用；</w:t>
            </w:r>
          </w:p>
          <w:p>
            <w:pPr>
              <w:jc w:val="both"/>
            </w:pPr>
            <w:r>
              <w:rPr>
                <w:sz w:val="21"/>
              </w:rPr>
              <w:t>6</w:t>
            </w:r>
            <w:r>
              <w:rPr>
                <w:sz w:val="21"/>
              </w:rPr>
              <w:t>、档案管理和原始数据管理等方面的培训；</w:t>
            </w:r>
          </w:p>
          <w:p>
            <w:pPr>
              <w:jc w:val="both"/>
            </w:pPr>
            <w:r>
              <w:rPr>
                <w:sz w:val="21"/>
              </w:rPr>
              <w:t>7</w:t>
            </w:r>
            <w:r>
              <w:rPr>
                <w:sz w:val="21"/>
              </w:rPr>
              <w:t>、解决快检技术难题的培训。</w:t>
            </w:r>
          </w:p>
        </w:tc>
      </w:tr>
      <w:tr>
        <w:tc>
          <w:tcPr>
            <w:tcW w:type="dxa" w:w="2076"/>
          </w:tcPr>
          <w:p/>
        </w:tc>
        <w:tc>
          <w:tcPr>
            <w:tcW w:type="dxa" w:w="415"/>
          </w:tcPr>
          <w:p>
            <w:r>
              <w:rPr/>
              <w:t>14</w:t>
            </w:r>
          </w:p>
        </w:tc>
        <w:tc>
          <w:tcPr>
            <w:tcW w:type="dxa" w:w="5814"/>
          </w:tcPr>
          <w:p>
            <w:pPr>
              <w:jc w:val="both"/>
            </w:pPr>
            <w:r>
              <w:rPr>
                <w:sz w:val="21"/>
              </w:rPr>
              <w:t>检验工作流程</w:t>
            </w:r>
          </w:p>
          <w:p>
            <w:pPr>
              <w:jc w:val="both"/>
            </w:pPr>
            <w:r>
              <w:rPr>
                <w:sz w:val="21"/>
              </w:rPr>
              <w:t>（一）快检实验室应具备食用农产品快检的检测能力。其检测项目、样品覆盖率及检测频率应与市场销售的品种及数量相适应，并接受当地部门的监督指导。对于出现误差率较高的食用农产品品种和检验项目及时纠正并上报。检测人员应按照规定的抽样程序和相关要求进行抽样，并填写抽样单。确保样品在整个检测过程中有唯一的编号和状态标识，以避免在传递过程中被混淆。检测方法必须现行有效，如出现结果不合格时，应进行复检；结果出现异议时，应送法检进行确认。通过实验室管理系统生成的样本编号及相关样品信息（包括被检单位名称、抽样时间、抽样人员、抽样产品名称、类别、原产地信息、快检阳性报告等）作为复检的依据，法检复检的结果通过样本编号进行对应匹配，以便跟踪。</w:t>
            </w:r>
          </w:p>
          <w:p>
            <w:pPr>
              <w:jc w:val="both"/>
            </w:pPr>
            <w:r>
              <w:rPr>
                <w:sz w:val="21"/>
              </w:rPr>
              <w:t>（二）原始记录应清晰、真实、准确、及时、完整。检测报告应准确、清晰、明确、客观地报告每一项检测结果。检验报告和检测记录的填写和修改应规范，划改规范，修改后的原字迹清晰可辨，并有修改人的签字或盖章。检测人员和审核人员原则上不得为同一人。检测后的样品至少保留</w:t>
            </w:r>
            <w:r>
              <w:rPr>
                <w:sz w:val="21"/>
              </w:rPr>
              <w:t>48</w:t>
            </w:r>
            <w:r>
              <w:rPr>
                <w:sz w:val="21"/>
              </w:rPr>
              <w:t>小时，阳性样品保存至后续处置结束，阳性复检备份样品应按规定条件保存并进行监控和记录。检测报告、原始记录归档，保留两年。</w:t>
            </w:r>
          </w:p>
        </w:tc>
      </w:tr>
      <w:tr>
        <w:tc>
          <w:tcPr>
            <w:tcW w:type="dxa" w:w="2076"/>
          </w:tcPr>
          <w:p/>
        </w:tc>
        <w:tc>
          <w:tcPr>
            <w:tcW w:type="dxa" w:w="415"/>
          </w:tcPr>
          <w:p>
            <w:r>
              <w:rPr/>
              <w:t>15</w:t>
            </w:r>
          </w:p>
        </w:tc>
        <w:tc>
          <w:tcPr>
            <w:tcW w:type="dxa" w:w="5814"/>
          </w:tcPr>
          <w:p>
            <w:pPr>
              <w:jc w:val="both"/>
            </w:pPr>
            <w:r>
              <w:rPr>
                <w:sz w:val="21"/>
              </w:rPr>
              <w:t>监督管理</w:t>
            </w:r>
          </w:p>
          <w:p>
            <w:pPr>
              <w:jc w:val="both"/>
            </w:pPr>
            <w:r>
              <w:rPr>
                <w:sz w:val="21"/>
              </w:rPr>
              <w:t>（一）定期自查自纠</w:t>
            </w:r>
          </w:p>
          <w:p>
            <w:pPr>
              <w:jc w:val="both"/>
            </w:pPr>
            <w:r>
              <w:rPr>
                <w:sz w:val="21"/>
              </w:rPr>
              <w:t>中标人作为项目工作质量的第一责任人，应该认真履行快检质量管理责任，每月针对</w:t>
            </w:r>
            <w:r>
              <w:rPr>
                <w:sz w:val="21"/>
              </w:rPr>
              <w:t>5</w:t>
            </w:r>
            <w:r>
              <w:rPr>
                <w:sz w:val="21"/>
              </w:rPr>
              <w:t>个镇街政府快检实验室（含</w:t>
            </w:r>
            <w:r>
              <w:rPr>
                <w:sz w:val="21"/>
              </w:rPr>
              <w:t>1</w:t>
            </w:r>
            <w:r>
              <w:rPr>
                <w:sz w:val="21"/>
              </w:rPr>
              <w:t>个批发市场驻场检测点）及</w:t>
            </w:r>
            <w:r>
              <w:rPr>
                <w:sz w:val="21"/>
              </w:rPr>
              <w:t>1</w:t>
            </w:r>
            <w:r>
              <w:rPr>
                <w:sz w:val="21"/>
              </w:rPr>
              <w:t>台移动检测车的快检任务完成情况、试剂购买存储与验收情况、抽样品种及覆盖率、不合格产品发现率、快检人员操作熟练程度及规范性、快检抽样和结果原始记录、检测结果上报及公示、实验室管理等认真开展自查自纠，制定并实行内部奖惩制度和措施。于每月</w:t>
            </w:r>
            <w:r>
              <w:rPr>
                <w:sz w:val="21"/>
              </w:rPr>
              <w:t>25</w:t>
            </w:r>
            <w:r>
              <w:rPr>
                <w:sz w:val="21"/>
              </w:rPr>
              <w:t>日前将检查及检查情况总结、原始检查记录表、现场检查图片等报送采购人。</w:t>
            </w:r>
          </w:p>
          <w:p>
            <w:pPr>
              <w:jc w:val="both"/>
            </w:pPr>
            <w:r>
              <w:rPr>
                <w:sz w:val="21"/>
              </w:rPr>
              <w:t>（二）日常监督检查</w:t>
            </w:r>
          </w:p>
          <w:p>
            <w:pPr>
              <w:jc w:val="both"/>
            </w:pPr>
            <w:r>
              <w:rPr>
                <w:sz w:val="21"/>
              </w:rPr>
              <w:t>佛山市顺德区各镇街市场监督管理所负责所在地镇街政府快检室日常运作的监督检查，每月至少对辖区政府快检室开展</w:t>
            </w:r>
            <w:r>
              <w:rPr>
                <w:sz w:val="21"/>
              </w:rPr>
              <w:t>1</w:t>
            </w:r>
            <w:r>
              <w:rPr>
                <w:sz w:val="21"/>
              </w:rPr>
              <w:t>次监督检查工作，并于每月</w:t>
            </w:r>
            <w:r>
              <w:rPr>
                <w:sz w:val="21"/>
              </w:rPr>
              <w:t>28</w:t>
            </w:r>
            <w:r>
              <w:rPr>
                <w:sz w:val="21"/>
              </w:rPr>
              <w:t>日前报送当月监督检查情况。采购人负责对移动检测车的运作情况开展监督检查。采购人及佛山市顺德区各镇街市场监督管理所根据工作两级分工，对照广东省市场监督管理局下发的《农贸市场食用农产品快检工作监督评价表》进行逐一检查，重点检查各政府快检实验室和移动检测车试剂产品采购和使用情况、快检任务完成情况、快检人员培训情况、快检数据原始记录及上传、不合格产品处理、检测结果公示等内容。</w:t>
            </w:r>
          </w:p>
          <w:p>
            <w:pPr>
              <w:jc w:val="both"/>
            </w:pPr>
            <w:r>
              <w:rPr>
                <w:sz w:val="21"/>
              </w:rPr>
              <w:t>（三）飞行检查考核</w:t>
            </w:r>
          </w:p>
          <w:p>
            <w:pPr>
              <w:jc w:val="both"/>
            </w:pPr>
            <w:r>
              <w:rPr>
                <w:sz w:val="21"/>
              </w:rPr>
              <w:t>采购人全年对所有参加快检市场至少检查</w:t>
            </w:r>
            <w:r>
              <w:rPr>
                <w:sz w:val="21"/>
              </w:rPr>
              <w:t>2</w:t>
            </w:r>
            <w:r>
              <w:rPr>
                <w:sz w:val="21"/>
              </w:rPr>
              <w:t>次并形成记录，重点围绕以下几个方面开展：使用的快检试剂是否经过评价且符合要求；快检试剂出入库台账及存储情况（包括名称、厂家、数量、批号、日期等）；快检任务量的完成情况</w:t>
            </w:r>
            <w:r>
              <w:rPr>
                <w:sz w:val="21"/>
              </w:rPr>
              <w:t>(</w:t>
            </w:r>
            <w:r>
              <w:rPr>
                <w:sz w:val="21"/>
              </w:rPr>
              <w:t>总任务量、水产品检测任务量、蔬菜胶体金法检测任务量、重点品种检测任务量等）；快检检测项目开展、快检检测设备及辅助设备的配备、快检抽样和结果原始记录、检测结果上报及公示和快检不合格样品的处理等情况；快检人员资质</w:t>
            </w:r>
            <w:r>
              <w:rPr>
                <w:sz w:val="21"/>
              </w:rPr>
              <w:t>(</w:t>
            </w:r>
            <w:r>
              <w:rPr>
                <w:sz w:val="21"/>
              </w:rPr>
              <w:t>快检人员是否经过培训考核和持证上岗</w:t>
            </w:r>
            <w:r>
              <w:rPr>
                <w:sz w:val="21"/>
              </w:rPr>
              <w:t>)</w:t>
            </w:r>
            <w:r>
              <w:rPr>
                <w:sz w:val="21"/>
              </w:rPr>
              <w:t>、配置情况等。</w:t>
            </w:r>
          </w:p>
          <w:p>
            <w:pPr>
              <w:jc w:val="both"/>
            </w:pPr>
            <w:r>
              <w:rPr>
                <w:sz w:val="21"/>
              </w:rPr>
              <w:t>（四）召开分析会议</w:t>
            </w:r>
          </w:p>
          <w:p>
            <w:pPr>
              <w:jc w:val="both"/>
            </w:pPr>
            <w:r>
              <w:rPr>
                <w:sz w:val="21"/>
              </w:rPr>
              <w:t>根据检查情况，</w:t>
            </w:r>
            <w:r>
              <w:rPr>
                <w:sz w:val="21"/>
              </w:rPr>
              <w:t>中标人</w:t>
            </w:r>
            <w:r>
              <w:rPr>
                <w:sz w:val="21"/>
              </w:rPr>
              <w:t>不定期组织召开快检质量分析会议，针对监督检查发现的问题，分析原因、制定措施、落实整改，进一步规范快检工作，提升快检工作质量和成效。</w:t>
            </w:r>
          </w:p>
        </w:tc>
      </w:tr>
      <w:tr>
        <w:tc>
          <w:tcPr>
            <w:tcW w:type="dxa" w:w="2076"/>
          </w:tcPr>
          <w:p/>
        </w:tc>
        <w:tc>
          <w:tcPr>
            <w:tcW w:type="dxa" w:w="415"/>
          </w:tcPr>
          <w:p>
            <w:r>
              <w:rPr/>
              <w:t>16</w:t>
            </w:r>
          </w:p>
        </w:tc>
        <w:tc>
          <w:tcPr>
            <w:tcW w:type="dxa" w:w="5814"/>
          </w:tcPr>
          <w:p>
            <w:pPr>
              <w:jc w:val="both"/>
            </w:pPr>
            <w:r>
              <w:rPr>
                <w:sz w:val="21"/>
              </w:rPr>
              <w:t>质量控制</w:t>
            </w:r>
          </w:p>
          <w:p>
            <w:pPr>
              <w:jc w:val="both"/>
            </w:pPr>
            <w:r>
              <w:rPr>
                <w:sz w:val="21"/>
              </w:rPr>
              <w:t>质量控制是得到准确快检结果的重要保障。快检实验客观存在一定的质量风险</w:t>
            </w:r>
            <w:r>
              <w:rPr>
                <w:sz w:val="21"/>
              </w:rPr>
              <w:t>，</w:t>
            </w:r>
            <w:r>
              <w:rPr>
                <w:sz w:val="21"/>
              </w:rPr>
              <w:t>某一环节的疏忽有可能导致结果不准确，检测质量无法保证，因此需要采取合适的质量控制手段以及时发现问题</w:t>
            </w:r>
            <w:r>
              <w:rPr>
                <w:sz w:val="21"/>
              </w:rPr>
              <w:t>，</w:t>
            </w:r>
            <w:r>
              <w:rPr>
                <w:sz w:val="21"/>
              </w:rPr>
              <w:t>保证结果的准确性。中标人需有完善的质量控制制度文件并制定相应的质控计划。规范实验室试剂、设备、样品管理，对快检产品进行验收，开展空白样</w:t>
            </w:r>
            <w:r>
              <w:rPr>
                <w:sz w:val="21"/>
              </w:rPr>
              <w:t>/</w:t>
            </w:r>
            <w:r>
              <w:rPr>
                <w:sz w:val="21"/>
              </w:rPr>
              <w:t>加标样的验证；规范原始记录填写；加强人员培训，强化快检人员质量控制意识；规范抽样及检测过程等。</w:t>
            </w:r>
          </w:p>
        </w:tc>
      </w:tr>
      <w:tr>
        <w:tc>
          <w:tcPr>
            <w:tcW w:type="dxa" w:w="2076"/>
          </w:tcPr>
          <w:p/>
        </w:tc>
        <w:tc>
          <w:tcPr>
            <w:tcW w:type="dxa" w:w="415"/>
          </w:tcPr>
          <w:p>
            <w:r>
              <w:rPr/>
              <w:t>17</w:t>
            </w:r>
          </w:p>
        </w:tc>
        <w:tc>
          <w:tcPr>
            <w:tcW w:type="dxa" w:w="5814"/>
          </w:tcPr>
          <w:p>
            <w:pPr>
              <w:jc w:val="both"/>
            </w:pPr>
            <w:r>
              <w:rPr>
                <w:sz w:val="21"/>
              </w:rPr>
              <w:t>应急服务响应</w:t>
            </w:r>
          </w:p>
          <w:p>
            <w:pPr>
              <w:jc w:val="both"/>
            </w:pPr>
            <w:r>
              <w:rPr>
                <w:sz w:val="21"/>
              </w:rPr>
              <w:t>（一）中标人应设置有专人</w:t>
            </w:r>
            <w:r>
              <w:rPr>
                <w:sz w:val="21"/>
              </w:rPr>
              <w:t>24</w:t>
            </w:r>
            <w:r>
              <w:rPr>
                <w:sz w:val="21"/>
              </w:rPr>
              <w:t>小时接听的移动电话热线，用于解决突发应急问题。</w:t>
            </w:r>
          </w:p>
          <w:p>
            <w:pPr>
              <w:jc w:val="both"/>
            </w:pPr>
            <w:r>
              <w:rPr>
                <w:sz w:val="21"/>
              </w:rPr>
              <w:t>（二）</w:t>
            </w:r>
            <w:r>
              <w:rPr>
                <w:sz w:val="21"/>
              </w:rPr>
              <w:t>★</w:t>
            </w:r>
            <w:r>
              <w:rPr>
                <w:sz w:val="21"/>
              </w:rPr>
              <w:t>中标人必须承诺对突发性的食品安全事件提供应急抽样检验及专家技术支持，中标人具备的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号）中附件《</w:t>
            </w:r>
            <w:r>
              <w:rPr>
                <w:sz w:val="21"/>
              </w:rPr>
              <w:t>2023</w:t>
            </w:r>
            <w:r>
              <w:rPr>
                <w:sz w:val="21"/>
              </w:rPr>
              <w:t>年食品安全监督抽检品种、项目表》及《</w:t>
            </w:r>
            <w:r>
              <w:rPr>
                <w:sz w:val="21"/>
              </w:rPr>
              <w:t>2023</w:t>
            </w:r>
            <w:r>
              <w:rPr>
                <w:sz w:val="21"/>
              </w:rPr>
              <w:t>年食用农产品监督抽检品种、项目表》中的检测项目。</w:t>
            </w:r>
          </w:p>
          <w:p>
            <w:pPr>
              <w:jc w:val="both"/>
            </w:pPr>
            <w:r>
              <w:rPr>
                <w:sz w:val="21"/>
              </w:rPr>
              <w:t>（三）其他根据工作提出的服务技术要求：如食品安全宣传活动中的咨询、检测、宣讲等服务；新闻发布、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tc>
      </w:tr>
      <w:tr>
        <w:tc>
          <w:tcPr>
            <w:tcW w:type="dxa" w:w="2076"/>
          </w:tcPr>
          <w:p/>
        </w:tc>
        <w:tc>
          <w:tcPr>
            <w:tcW w:type="dxa" w:w="415"/>
          </w:tcPr>
          <w:p>
            <w:r>
              <w:rPr/>
              <w:t>18</w:t>
            </w:r>
          </w:p>
        </w:tc>
        <w:tc>
          <w:tcPr>
            <w:tcW w:type="dxa" w:w="5814"/>
          </w:tcPr>
          <w:p>
            <w:pPr>
              <w:jc w:val="both"/>
            </w:pPr>
            <w:r>
              <w:rPr>
                <w:sz w:val="21"/>
              </w:rPr>
              <w:t>服务要求</w:t>
            </w:r>
          </w:p>
          <w:p>
            <w:pPr>
              <w:jc w:val="both"/>
            </w:pPr>
            <w:r>
              <w:rPr>
                <w:sz w:val="21"/>
              </w:rPr>
              <w:t>（一）投标人应具备快速检测、食品安全抽检（如：监督抽检、风险监测、评价性抽检、专项抽检等类型）的能力。</w:t>
            </w:r>
          </w:p>
          <w:p>
            <w:pPr>
              <w:jc w:val="both"/>
            </w:pPr>
            <w:r>
              <w:rPr>
                <w:sz w:val="21"/>
              </w:rPr>
              <w:t>（二）投标人需根据对本项目的熟悉程度提出针对本项目的实施方案（包括但不限于工作方法、抽检工作采抽样人员培训考核方案、设施设备与试剂耗材管理、样品保存及运输方案、质量控制措施方法、预防性管理方法等项目内容，应急抽检、专项抽检实施方案），配备满足项目要求的快检设备或试剂、配合项目需要的车辆设备，提供服务质量保证及售后服务能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佛山市顺德区市场监督管理局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兼投不兼中：1）投标人可投标一个采购包，也可同时投标多个采购包，但只能中标一个采购包，即兼投不兼中，已成为其中一采购包第一中标候选人的投标人不再参加下一采购包的评审。 2）每个投标人最多只能被确定为1个采购包的第一中标候选人。评标委员会按采购包号由小到大的顺序评审，获得前面任意1个采购包的第一中标候选人的投标人，如参加后面采购包的投标，将不能通过后面采购包的符合性审查。本项目的评审顺序按照采购包号从小到大排序，即首先评审采购包1、然后评审采购包2，以此类推。本项目评审结束后，如个别采购包出现改变排序或者重新评审或重新招标等改变中标结果的情形，其他采购包的排序和评审结果均不作任何调整，且其他采购包的第一中标候选人不再参与个别采购包的重新评审或重新招标、不具有中标候选人推荐资格。</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采购机构代理服务收费标准：以各包组中标通知书中的中标金额作为招标代理服务费的计算基数。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jc w:val="left"/>
            </w:pPr>
            <w:r>
              <w:rPr/>
              <w:t>2，其他未列明行业。从业人员300人以下的为中小微型企业。其中，从业人员100人及以上的为中型企业；从业人员10人及以上的为小型企业；从业人员10人以下的为微型企业。</w:t>
            </w:r>
          </w:p>
          <w:p>
            <w:pPr>
              <w:jc w:val="left"/>
            </w:pPr>
            <w:r>
              <w:rPr/>
              <w:t>3，本项目所涉及的执行标准或政策文件，如有最新，按最新的标准（文件）执行。</w:t>
            </w: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广东省公共资源交易平台（https://ygp.gdzwfw.gov.cn/ggzy-portal/#/440600/index）、佛山市顺德区公共资源交易中心（http：//www.shunde.gov.cn/ggzy/）及采购代理机构（http：//www.gdbdzb.com/）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广东省公共资源交易平台（https://ygp.gdzwfw.gov.cn/ggzy-portal/#/440600/index）、佛山市顺德区公共资源交易中心（http：//www.shunde.gov.cn/ggzy/）及采购代理机构（http：//www.gdbdzb.com/）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杨小姐</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佛山市顺德区大良街道逢沙村萃智路1号车创置业广场1栋601房</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顺德区市场监督管理局2024年3月-2025年2月食用农产品快速检测-包1)：综合评分法,是指投标文件满足招标文件全部实质性要求，且按照评审因素的量化指标评审得分最高的投标人为中标候选人的评标方法。（最低报价不是中标的唯一依据。）</w:t>
      </w:r>
    </w:p>
    <w:p/>
    <w:p>
      <w:r>
        <w:rPr/>
        <w:t>采购包2(顺德区市场监督管理局2024年3月-2025年2月食用农产品快速检测-包2)：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采购包1（顺德区市场监督管理局2024年3月-2025年2月食用农产品快速检测-包1）：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采购包2（顺德区市场监督管理局2024年3月-2025年2月食用农产品快速检测-包2）：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采购包1（顺德区市场监督管理局2024年3月-2025年2月食用农产品快速检测-包1）：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须提供下列任一项证明材料：①《政府采购供应商资格信用承诺函》;②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资质要求</w:t>
            </w:r>
          </w:p>
        </w:tc>
        <w:tc>
          <w:tcPr>
            <w:tcW w:type="dxa" w:w="4238"/>
          </w:tcPr>
          <w:p>
            <w:r>
              <w:rPr/>
              <w:t>供应商具有有效的食品检验机构资质认定证书或含有食品检验检测能力的检验检测机构资质认定证书（提供证书扫描件）。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本项目不属于专门面向中小企业采购项目。本项目标的按照《中小企业划型标准规定》（工信部联企业[2011]300号）划分行业为：其他未列明行业。</w:t>
            </w:r>
          </w:p>
        </w:tc>
      </w:tr>
    </w:tbl>
    <w:p/>
    <w:p>
      <w:r>
        <w:rPr/>
        <w:t>采购包2（顺德区市场监督管理局2024年3月-2025年2月食用农产品快速检测-包2）：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须提供下列任一项证明材料：①《政府采购供应商资格信用承诺函》;②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资质要求</w:t>
            </w:r>
          </w:p>
        </w:tc>
        <w:tc>
          <w:tcPr>
            <w:tcW w:type="dxa" w:w="4238"/>
          </w:tcPr>
          <w:p>
            <w:r>
              <w:rPr/>
              <w:t>供应商具有有效的食品检验机构资质认定证书或含有食品检验检测能力的检验检测机构资质认定证书（提供证书扫描件）。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其他未列明行业）。</w:t>
            </w:r>
          </w:p>
        </w:tc>
      </w:tr>
    </w:tbl>
    <w:p/>
    <w:p>
      <w:pPr>
        <w:ind w:firstLine="480"/>
      </w:pPr>
      <w:r>
        <w:rPr/>
        <w:t>表二符合性审查表：</w:t>
      </w:r>
    </w:p>
    <w:p>
      <w:pPr>
        <w:ind w:firstLine="480"/>
      </w:pPr>
    </w:p>
    <w:p/>
    <w:p>
      <w:r>
        <w:rPr/>
        <w:t>采购包1（顺德区市场监督管理局2024年3月-2025年2月食用农产品快速检测-包1）：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w:t>
            </w:r>
          </w:p>
        </w:tc>
        <w:tc>
          <w:tcPr>
            <w:tcW w:type="dxa" w:w="4238"/>
          </w:tcPr>
          <w:p>
            <w:r>
              <w:rPr/>
              <w:t>投标报价是固定价且是唯一的，符合招标文件要求；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4</w:t>
            </w:r>
          </w:p>
        </w:tc>
        <w:tc>
          <w:tcPr>
            <w:tcW w:type="dxa" w:w="3178"/>
          </w:tcPr>
          <w:p>
            <w:r>
              <w:rPr/>
              <w:t>标注“★”的实质性条款响应情况</w:t>
            </w:r>
          </w:p>
        </w:tc>
        <w:tc>
          <w:tcPr>
            <w:tcW w:type="dxa" w:w="4238"/>
          </w:tcPr>
          <w:p>
            <w:r>
              <w:rPr/>
              <w:t>投标文件完全满足招标文件的实质性条款（即标注★号条款）无负偏离的。</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投标文件没有招标文件中规定的被视为无效投标的其它条款的</w:t>
            </w:r>
          </w:p>
        </w:tc>
        <w:tc>
          <w:tcPr>
            <w:tcW w:type="dxa" w:w="4238"/>
          </w:tcPr>
          <w:p>
            <w:r>
              <w:rPr/>
              <w:t>投标文件没有招标文件中规定的被视为无效投标的其它条款的。</w:t>
            </w:r>
          </w:p>
        </w:tc>
      </w:tr>
      <w:tr>
        <w:tc>
          <w:tcPr>
            <w:tcW w:type="dxa" w:w="890"/>
          </w:tcPr>
          <w:p>
            <w:r>
              <w:rPr/>
              <w:t>7</w:t>
            </w:r>
          </w:p>
        </w:tc>
        <w:tc>
          <w:tcPr>
            <w:tcW w:type="dxa" w:w="3178"/>
          </w:tcPr>
          <w:p>
            <w:r>
              <w:rPr/>
              <w:t>没有违反有关法律、法规、规章要求，被视为投标无效的其他情况</w:t>
            </w:r>
          </w:p>
        </w:tc>
        <w:tc>
          <w:tcPr>
            <w:tcW w:type="dxa" w:w="4238"/>
          </w:tcPr>
          <w:p>
            <w:r>
              <w:rPr/>
              <w:t>没有违反有关法律、法规、规章要求，被视为投标无效的其他情况。</w:t>
            </w:r>
          </w:p>
        </w:tc>
      </w:tr>
    </w:tbl>
    <w:p/>
    <w:p>
      <w:r>
        <w:rPr/>
        <w:t>采购包2（顺德区市场监督管理局2024年3月-2025年2月食用农产品快速检测-包2）：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w:t>
            </w:r>
          </w:p>
        </w:tc>
        <w:tc>
          <w:tcPr>
            <w:tcW w:type="dxa" w:w="4238"/>
          </w:tcPr>
          <w:p>
            <w:r>
              <w:rPr/>
              <w:t>投标报价是固定价且是唯一的，符合招标文件要求；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4</w:t>
            </w:r>
          </w:p>
        </w:tc>
        <w:tc>
          <w:tcPr>
            <w:tcW w:type="dxa" w:w="3178"/>
          </w:tcPr>
          <w:p>
            <w:r>
              <w:rPr/>
              <w:t>标注“★”的实质性条款响应情况</w:t>
            </w:r>
          </w:p>
        </w:tc>
        <w:tc>
          <w:tcPr>
            <w:tcW w:type="dxa" w:w="4238"/>
          </w:tcPr>
          <w:p>
            <w:r>
              <w:rPr/>
              <w:t>投标文件完全满足招标文件的实质性条款（即标注★号条款）无负偏离的。</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投标文件没有招标文件中规定的被视为无效投标的其它条款的</w:t>
            </w:r>
          </w:p>
        </w:tc>
        <w:tc>
          <w:tcPr>
            <w:tcW w:type="dxa" w:w="4238"/>
          </w:tcPr>
          <w:p>
            <w:r>
              <w:rPr/>
              <w:t>投标文件没有招标文件中规定的被视为无效投标的其它条款的。</w:t>
            </w:r>
          </w:p>
        </w:tc>
      </w:tr>
      <w:tr>
        <w:tc>
          <w:tcPr>
            <w:tcW w:type="dxa" w:w="890"/>
          </w:tcPr>
          <w:p>
            <w:r>
              <w:rPr/>
              <w:t>7</w:t>
            </w:r>
          </w:p>
        </w:tc>
        <w:tc>
          <w:tcPr>
            <w:tcW w:type="dxa" w:w="3178"/>
          </w:tcPr>
          <w:p>
            <w:r>
              <w:rPr/>
              <w:t>没有违反有关法律、法规、规章要求，被视为投标无效的其他情况</w:t>
            </w:r>
          </w:p>
        </w:tc>
        <w:tc>
          <w:tcPr>
            <w:tcW w:type="dxa" w:w="4238"/>
          </w:tcPr>
          <w:p>
            <w:r>
              <w:rPr/>
              <w:t>没有违反有关法律、法规、规章要求，被视为投标无效的其他情况。</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采购包1(顺德区市场监督管理局2024年3月-2025年2月食用农产品快速检测-包1):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对本包组的熟悉程度 (5.0分)</w:t>
            </w:r>
            <w:r>
              <w:rPr/>
              <w:t>，（等次分值选择：</w:t>
            </w:r>
            <w:r>
              <w:rPr/>
              <w:t>0.0;</w:t>
            </w:r>
            <w:r>
              <w:rPr/>
              <w:t>1.0;</w:t>
            </w:r>
            <w:r>
              <w:rPr/>
              <w:t>3.0;</w:t>
            </w:r>
            <w:r>
              <w:rPr/>
              <w:t>5.0;</w:t>
            </w:r>
            <w:r>
              <w:rPr/>
              <w:t>）</w:t>
            </w:r>
          </w:p>
        </w:tc>
        <w:tc>
          <w:tcPr>
            <w:tcW w:type="dxa" w:w="5076"/>
          </w:tcPr>
          <w:p>
            <w:pPr>
              <w:jc w:val="left"/>
            </w:pPr>
            <w:r>
              <w:rPr/>
              <w:t>根据各投标人对项目实施区域内的批发市场和零售市场的熟悉程度等进行评审： 1.对项目实施区域内的批发市场和零售市场有进行完整的分析，能提供5个镇街相关的数据材料分析，能深入理解项目实施的要求，能提出相应的重点难点和相应的解决方案，得5分； 2.对项目实施区域内的批发市场和零售市场有进行的分析，能提供5个镇街相关的数据材料分析，但不够全面，能理解项目实施的要求，有重难点分析方案，得3分； 3.对项目实施区域内的批发市场和零售市场有进行的分析但不全面，没有提供5个镇街相关的数据材料分析，理解基本到位，得1分； 4.对项目实施区域内的批发市场和零售市场分析不到位或不提供的，不得分。</w:t>
            </w:r>
          </w:p>
        </w:tc>
      </w:tr>
      <w:tr>
        <w:tc>
          <w:tcPr>
            <w:tcW w:type="dxa" w:w="922"/>
            <w:gridSpan w:val="2"/>
            <w:vMerge/>
          </w:tcPr>
          <w:p/>
        </w:tc>
        <w:tc>
          <w:tcPr>
            <w:tcW w:type="dxa" w:w="2307"/>
          </w:tcPr>
          <w:p>
            <w:pPr>
              <w:jc w:val="left"/>
            </w:pPr>
            <w:r>
              <w:rPr/>
              <w:t>针对本项目的实施方案（一） (9.0分)</w:t>
            </w:r>
            <w:r>
              <w:rPr/>
              <w:t>，（等次分值选择：</w:t>
            </w:r>
            <w:r>
              <w:rPr/>
              <w:t>0.0;</w:t>
            </w:r>
            <w:r>
              <w:rPr/>
              <w:t>3.0;</w:t>
            </w:r>
            <w:r>
              <w:rPr/>
              <w:t>6.0;</w:t>
            </w:r>
            <w:r>
              <w:rPr/>
              <w:t>9.0;</w:t>
            </w:r>
            <w:r>
              <w:rPr/>
              <w:t>）</w:t>
            </w:r>
          </w:p>
        </w:tc>
        <w:tc>
          <w:tcPr>
            <w:tcW w:type="dxa" w:w="5076"/>
          </w:tcPr>
          <w:p>
            <w:pPr>
              <w:jc w:val="left"/>
            </w:pPr>
            <w:r>
              <w:rPr/>
              <w:t>根据投标人提出的针对本项目的实施方案包括但不限于工作方法、抽检工作采抽样人员培训考核方案、设施设备与试剂耗材管理、样品保存及运输方案、质量控制措施方法、预防性管理方法等项目内容进行评审： 1.方案包括以上所提到的所有方案、方法，且方案科学、合理、可行性高，并能提供完整的数据或其他证明材料作为辅证资料，完全符合招标文件要求，得9分； 2.方案包括以上所提到的所有方案、方法，方案相对科学合理、可行性较高，能提供的数据或其他证明材料作为辅证资料，但不够全面，符合招标文件要求，得6分； 3.方案有不全或方案比较单一，没有提供的数据或其他证明材料作为辅证资料或辅证资料不能作为有力依据，整体方案较差、可行性低，基本符合招标文件要求，得3分； 4.没有提供方案的，不得分。</w:t>
            </w:r>
          </w:p>
        </w:tc>
      </w:tr>
      <w:tr>
        <w:tc>
          <w:tcPr>
            <w:tcW w:type="dxa" w:w="922"/>
            <w:gridSpan w:val="2"/>
            <w:vMerge/>
          </w:tcPr>
          <w:p/>
        </w:tc>
        <w:tc>
          <w:tcPr>
            <w:tcW w:type="dxa" w:w="2307"/>
          </w:tcPr>
          <w:p>
            <w:pPr>
              <w:jc w:val="left"/>
            </w:pPr>
            <w:r>
              <w:rPr/>
              <w:t>针对本项目的实施方案 (6.0分)</w:t>
            </w:r>
            <w:r>
              <w:rPr/>
              <w:t>，（等次分值选择：</w:t>
            </w:r>
            <w:r>
              <w:rPr/>
              <w:t>0.0;</w:t>
            </w:r>
            <w:r>
              <w:rPr/>
              <w:t>2.0;</w:t>
            </w:r>
            <w:r>
              <w:rPr/>
              <w:t>4.0;</w:t>
            </w:r>
            <w:r>
              <w:rPr/>
              <w:t>6.0;</w:t>
            </w:r>
            <w:r>
              <w:rPr/>
              <w:t>）</w:t>
            </w:r>
          </w:p>
        </w:tc>
        <w:tc>
          <w:tcPr>
            <w:tcW w:type="dxa" w:w="5076"/>
          </w:tcPr>
          <w:p>
            <w:pPr>
              <w:jc w:val="left"/>
            </w:pPr>
            <w:r>
              <w:rPr/>
              <w:t>根据投标人提出的针对本项目的应急抽检、专项抽检实施方案，包括但不限于突发事件应急抽检、夜间紧急抽检、突击抽检等进行评审： 1.方案包括以上所提到的所有方案，且方案科学、合理、可行性高，并能提供相应的数据或证明材料作为辅证资料，完全符合招标文件要求，得6分； 2.方案包括以上所提到的所有方案，方案相对科学合理、可行性较高，但缺乏数据和资料证明或证明资料不足，符合招标文件要求，得4分； 3.方案有不全或方案比较单一，没有提供数据或证明材料或证明材料不能作为有力依据，整体方案较差、可行性低，基本符合招标文件要求，得2分。 4.不提供方案的，不得分。</w:t>
            </w:r>
          </w:p>
        </w:tc>
      </w:tr>
      <w:tr>
        <w:tc>
          <w:tcPr>
            <w:tcW w:type="dxa" w:w="922"/>
            <w:gridSpan w:val="2"/>
            <w:vMerge/>
          </w:tcPr>
          <w:p/>
        </w:tc>
        <w:tc>
          <w:tcPr>
            <w:tcW w:type="dxa" w:w="2307"/>
          </w:tcPr>
          <w:p>
            <w:pPr>
              <w:jc w:val="left"/>
            </w:pPr>
            <w:r>
              <w:rPr/>
              <w:t>拟投入本项目的快检试剂 (16.0分)</w:t>
            </w:r>
          </w:p>
        </w:tc>
        <w:tc>
          <w:tcPr>
            <w:tcW w:type="dxa" w:w="5076"/>
          </w:tcPr>
          <w:p>
            <w:pPr>
              <w:jc w:val="left"/>
            </w:pPr>
            <w:r>
              <w:rPr/>
              <w:t>投标人所使用的快检试剂通过市场监督管理部门组织或检验机构评价验证的，每1个产品得0.5分，最多得16分。 注：须同时提供（1）拟投入本项目的快检设备或试剂的承诺函；（2）市场监督管理部门评价结果通知公告或评价验证报告等证明材料复印件，并加盖投标人公章，否则不得分。</w:t>
            </w:r>
          </w:p>
        </w:tc>
      </w:tr>
      <w:tr>
        <w:tc>
          <w:tcPr>
            <w:tcW w:type="dxa" w:w="922"/>
            <w:gridSpan w:val="2"/>
            <w:vMerge/>
          </w:tcPr>
          <w:p/>
        </w:tc>
        <w:tc>
          <w:tcPr>
            <w:tcW w:type="dxa" w:w="2307"/>
          </w:tcPr>
          <w:p>
            <w:pPr>
              <w:jc w:val="left"/>
            </w:pPr>
            <w:r>
              <w:rPr/>
              <w:t>投标人承检项目能力 (8.0分)</w:t>
            </w:r>
          </w:p>
        </w:tc>
        <w:tc>
          <w:tcPr>
            <w:tcW w:type="dxa" w:w="5076"/>
          </w:tcPr>
          <w:p>
            <w:pPr>
              <w:jc w:val="left"/>
            </w:pPr>
            <w:r>
              <w:rPr/>
              <w:t>1、投标人具备《国家食品安全监督抽检实施细则（2023年版）》（除第三十三大类外）中的检测项目98%(含)或以上得4分，98%（不含）-95%（含）的得2.5分，95%（不含）-90%（含）的得1分，90%以下的不得分。 2、投标人具备《国家食品安全监督抽检实施细则（2023年版）》中食用农产品（第三十三大类）中98%(含)或以上的检测项目得4分，98%（不含）-95%（含）的得2.5分，95%（不含）-90%（含）的得1分，90%以下的不得分。 注：投标人须提供承诺函并按附件展开计算检测项目覆盖率，承诺函格式自拟。投标人对检测项目列表（表格需含“食品细类（四级）”）说明在其资质附表中的序号，提供CMA资质附表扫描件，不提供不得分。</w:t>
            </w:r>
          </w:p>
        </w:tc>
      </w:tr>
      <w:tr>
        <w:tc>
          <w:tcPr>
            <w:tcW w:type="dxa" w:w="922"/>
            <w:gridSpan w:val="2"/>
            <w:vMerge/>
          </w:tcPr>
          <w:p/>
        </w:tc>
        <w:tc>
          <w:tcPr>
            <w:tcW w:type="dxa" w:w="2307"/>
          </w:tcPr>
          <w:p>
            <w:pPr>
              <w:jc w:val="left"/>
            </w:pPr>
            <w:r>
              <w:rPr/>
              <w:t>快检评价 (8.0分)</w:t>
            </w:r>
            <w:r>
              <w:rPr/>
              <w:t>，（等次分值选择：</w:t>
            </w:r>
            <w:r>
              <w:rPr/>
              <w:t>0.0;</w:t>
            </w:r>
            <w:r>
              <w:rPr/>
              <w:t>2.0;</w:t>
            </w:r>
            <w:r>
              <w:rPr/>
              <w:t>5.0;</w:t>
            </w:r>
            <w:r>
              <w:rPr/>
              <w:t>8.0;</w:t>
            </w:r>
            <w:r>
              <w:rPr/>
              <w:t>）</w:t>
            </w:r>
          </w:p>
        </w:tc>
        <w:tc>
          <w:tcPr>
            <w:tcW w:type="dxa" w:w="5076"/>
          </w:tcPr>
          <w:p>
            <w:pPr>
              <w:jc w:val="left"/>
            </w:pPr>
            <w:r>
              <w:rPr/>
              <w:t>投标人参加2023年省级或以上食品安全监管部门组织的食用农产品快检工作监督评价，根据评价结果进行评审： 1、评价得分≥95分，得8分； 2、95分＞评价得分≥90分，得5分； 3、90分＞评价得分≥85分，得2分； 4、评价得分＜85分，不得分。 注:本项最高得8分，投标人须提供省级或以上食品安全监管部门组织的食用农产品快检工作监督评价结果通报扫描件并加盖投标人公章为评审依据，不提供不得分。</w:t>
            </w:r>
          </w:p>
        </w:tc>
      </w:tr>
      <w:tr>
        <w:tc>
          <w:tcPr>
            <w:tcW w:type="dxa" w:w="922"/>
            <w:gridSpan w:val="2"/>
            <w:vMerge/>
          </w:tcPr>
          <w:p/>
        </w:tc>
        <w:tc>
          <w:tcPr>
            <w:tcW w:type="dxa" w:w="2307"/>
          </w:tcPr>
          <w:p>
            <w:pPr>
              <w:jc w:val="left"/>
            </w:pPr>
            <w:r>
              <w:rPr/>
              <w:t>服务质量保证及售后服务能力 (3.0分)</w:t>
            </w:r>
            <w:r>
              <w:rPr/>
              <w:t>，（等次分值选择：</w:t>
            </w:r>
            <w:r>
              <w:rPr/>
              <w:t>0.0;</w:t>
            </w:r>
            <w:r>
              <w:rPr/>
              <w:t>1.0;</w:t>
            </w:r>
            <w:r>
              <w:rPr/>
              <w:t>2.0;</w:t>
            </w:r>
            <w:r>
              <w:rPr/>
              <w:t>3.0;</w:t>
            </w:r>
            <w:r>
              <w:rPr/>
              <w:t>）</w:t>
            </w:r>
          </w:p>
        </w:tc>
        <w:tc>
          <w:tcPr>
            <w:tcW w:type="dxa" w:w="5076"/>
          </w:tcPr>
          <w:p>
            <w:pPr>
              <w:jc w:val="left"/>
            </w:pPr>
            <w:r>
              <w:rPr/>
              <w:t>根据各投标人提供的服务质量保证方案、反应时间等进行评审： 1.投标人提供的服务方案详细可行，反应的时间明确清晰并优于招标文件要求的，得3分。 2.投标人提供的服务方案较详细、可行，反应的时间较明确清晰并满足招标文件要求的，得2分。 3.投标人提供的服务方案尚可，可行性较低，反应时间基本明确但不满足招标文件要求的，得1分。 4.投标人提供的服务方案比较简单，反应时间不明确，或不提供服务方案的，不得分。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投标人具有：1.职业健康安全体系认证证书；2.环境管理体系认证证书；3.质量管理体系认证证书；每提供1个认证证书的得1分，最高得3分。 注：同时提供相关的证书扫描件和全国认证认可信息网（http://cx.cnca.cn）查询“有效”截图作为证明材料，已失效、暂停、撤销或不提供不得分。</w:t>
            </w:r>
          </w:p>
        </w:tc>
      </w:tr>
      <w:tr>
        <w:tc>
          <w:tcPr>
            <w:tcW w:type="dxa" w:w="922"/>
            <w:gridSpan w:val="2"/>
            <w:vMerge/>
          </w:tcPr>
          <w:p/>
        </w:tc>
        <w:tc>
          <w:tcPr>
            <w:tcW w:type="dxa" w:w="2307"/>
          </w:tcPr>
          <w:p>
            <w:pPr>
              <w:jc w:val="left"/>
            </w:pPr>
            <w:r>
              <w:rPr/>
              <w:t>同类业绩  (22.0分)</w:t>
            </w:r>
          </w:p>
        </w:tc>
        <w:tc>
          <w:tcPr>
            <w:tcW w:type="dxa" w:w="5076"/>
          </w:tcPr>
          <w:p>
            <w:pPr>
              <w:jc w:val="left"/>
            </w:pPr>
            <w:r>
              <w:rPr/>
              <w:t>1、投标人2021年1月1日至今（以合同签订时间为准）已完成同类快速检测项目的（由评委会认定是否属于同类项目），每提供一份得1分，本项最高得6分；2、在上述业绩的基础上每提供一个实验室得0.25分，本项最高得10分；3、投标人2021年1月1日至今（以合同签订时间为准）已完成食品安全抽检项目（如：监督抽检、风险监测、评价性抽检、专项抽检等类型）的，每提供一份得0.5分，本项最高得6分； 注：（1）、（3）须提供合同关键页扫描件并加盖投标人公章，每个合同只按一项计算，续签的合同不重复计算。（2）须提供合同扫描件（体现快检实验室的数量）并加盖投标人公章。</w:t>
            </w:r>
          </w:p>
        </w:tc>
      </w:tr>
      <w:tr>
        <w:tc>
          <w:tcPr>
            <w:tcW w:type="dxa" w:w="922"/>
            <w:gridSpan w:val="2"/>
            <w:vMerge/>
          </w:tcPr>
          <w:p/>
        </w:tc>
        <w:tc>
          <w:tcPr>
            <w:tcW w:type="dxa" w:w="2307"/>
          </w:tcPr>
          <w:p>
            <w:pPr>
              <w:jc w:val="left"/>
            </w:pPr>
            <w:r>
              <w:rPr/>
              <w:t>拟投入本项目车辆 (4.0分)</w:t>
            </w:r>
          </w:p>
        </w:tc>
        <w:tc>
          <w:tcPr>
            <w:tcW w:type="dxa" w:w="5076"/>
          </w:tcPr>
          <w:p>
            <w:pPr>
              <w:jc w:val="left"/>
            </w:pPr>
            <w:r>
              <w:rPr/>
              <w:t>每提供1辆配备便携式车载冰箱（体积需达100升或以上）的车辆得0.5分，100升以下0.1分。 注：（1）若为自有（指车辆行驶证上的所有人为投标人）的，须在投标文件中提供机动行驶证扫描件；若为租赁的，须在投标文件中同时提供有效的车辆租赁协议（租赁期须包含本项目服务期，如不包含应提供承诺函，格式自拟）和机动车行驶证扫描件，否则不得分。（2）须提供便携式车载冰箱的清晰照片（照片或者发票需显示容升数），否则不得分。（3）便携式车载冰箱可为一台或多台。</w:t>
            </w:r>
          </w:p>
        </w:tc>
      </w:tr>
      <w:tr>
        <w:tc>
          <w:tcPr>
            <w:tcW w:type="dxa" w:w="922"/>
            <w:gridSpan w:val="2"/>
            <w:vMerge/>
          </w:tcPr>
          <w:p/>
        </w:tc>
        <w:tc>
          <w:tcPr>
            <w:tcW w:type="dxa" w:w="2307"/>
          </w:tcPr>
          <w:p>
            <w:pPr>
              <w:jc w:val="left"/>
            </w:pPr>
            <w:r>
              <w:rPr/>
              <w:t>拟投入本项目的人员 (6.0分)</w:t>
            </w:r>
          </w:p>
        </w:tc>
        <w:tc>
          <w:tcPr>
            <w:tcW w:type="dxa" w:w="5076"/>
          </w:tcPr>
          <w:p>
            <w:pPr>
              <w:jc w:val="left"/>
            </w:pPr>
            <w:r>
              <w:rPr/>
              <w:t>1、快速检测及抽样人员具有市场监管部门或农业系统或质监系统或质检协会或计量协会颁发的与快速检测和抽样相关证书，每1人得0.1分，本项最高得1分。 2、拟投入本项目的人员中，具有与本项目相关专业中级或以上职称的，每1人得0.3分，本项最高得3分。 3、拟投入本项目的人员中，具有检验检测机构资质认定评审员的，每1人得1分，本项最高得2分。 注：同一人员具有多项证书可重复得分；须同时提供相关证明材料（第1、2小项须提供人员名单、相关证书，第3小项须提供网页公告或政府部门发布的文件）以及投标文件提交截止前6个月内任意一个月投投标人为其缴纳社会保险证明的扫描件等证明文件扫描件，如依法免税或不需要缴纳社会保障资金的，提供相应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采购包2(顺德区市场监督管理局2024年3月-2025年2月食用农产品快速检测-包2):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对本包组的熟悉程度 (5.0分)</w:t>
            </w:r>
            <w:r>
              <w:rPr/>
              <w:t>，（等次分值选择：</w:t>
            </w:r>
            <w:r>
              <w:rPr/>
              <w:t>0.0;</w:t>
            </w:r>
            <w:r>
              <w:rPr/>
              <w:t>1.0;</w:t>
            </w:r>
            <w:r>
              <w:rPr/>
              <w:t>3.0;</w:t>
            </w:r>
            <w:r>
              <w:rPr/>
              <w:t>5.0;</w:t>
            </w:r>
            <w:r>
              <w:rPr/>
              <w:t>）</w:t>
            </w:r>
          </w:p>
        </w:tc>
        <w:tc>
          <w:tcPr>
            <w:tcW w:type="dxa" w:w="5076"/>
          </w:tcPr>
          <w:p>
            <w:pPr>
              <w:jc w:val="left"/>
            </w:pPr>
            <w:r>
              <w:rPr/>
              <w:t>根据各投标人对项目实施区域内的批发市场和零售市场的熟悉程度等进行评审： 1.对项目实施区域内的批发市场和零售市场有进行完整的分析，能提供5个镇街相关的数据材料分析，能深入理解项目实施的要求，能提出相应的重点难点和相应的解决方案，得5分； 2.对项目实施区域内的批发市场和零售市场有进行的分析，能提供5个镇街相关的数据材料分析，但不够全面，能理解项目实施的要求，有重难点分析方案，得3分； 3.对项目实施区域内的批发市场和零售市场有进行的分析但不全面，没有提供5个镇街相关的数据材料分析，理解基本到位，得1分； 4.对项目实施区域内的批发市场和零售市场分析不到位或不提供的，不得分。</w:t>
            </w:r>
          </w:p>
        </w:tc>
      </w:tr>
      <w:tr>
        <w:tc>
          <w:tcPr>
            <w:tcW w:type="dxa" w:w="922"/>
            <w:gridSpan w:val="2"/>
            <w:vMerge/>
          </w:tcPr>
          <w:p/>
        </w:tc>
        <w:tc>
          <w:tcPr>
            <w:tcW w:type="dxa" w:w="2307"/>
          </w:tcPr>
          <w:p>
            <w:pPr>
              <w:jc w:val="left"/>
            </w:pPr>
            <w:r>
              <w:rPr/>
              <w:t>针对本项目的实施方案（一） (9.0分)</w:t>
            </w:r>
            <w:r>
              <w:rPr/>
              <w:t>，（等次分值选择：</w:t>
            </w:r>
            <w:r>
              <w:rPr/>
              <w:t>0.0;</w:t>
            </w:r>
            <w:r>
              <w:rPr/>
              <w:t>3.0;</w:t>
            </w:r>
            <w:r>
              <w:rPr/>
              <w:t>6.0;</w:t>
            </w:r>
            <w:r>
              <w:rPr/>
              <w:t>9.0;</w:t>
            </w:r>
            <w:r>
              <w:rPr/>
              <w:t>）</w:t>
            </w:r>
          </w:p>
        </w:tc>
        <w:tc>
          <w:tcPr>
            <w:tcW w:type="dxa" w:w="5076"/>
          </w:tcPr>
          <w:p>
            <w:pPr>
              <w:jc w:val="left"/>
            </w:pPr>
            <w:r>
              <w:rPr/>
              <w:t>根据投标人提出的针对本项目的实施方案包括但不限于工作方法、抽检工作采抽样人员培训考核方案、设施设备与试剂耗材管理、样品保存及运输方案、质量控制措施方法、预防性管理方法等项目内容进行评审： 1.方案包括以上所提到的所有方案、方法，且方案科学、合理、可行性高，并能提供完整的数据或其他证明材料作为辅证资料，完全符合招标文件要求，得9分； 2.方案包括以上所提到的所有方案、方法，方案相对科学合理、可行性较高，能提供的数据或其他证明材料作为辅证资料，但不够全面，符合招标文件要求，得6分； 3.方案有不全或方案比较单一，没有提供的数据或其他证明材料作为辅证资料或辅证资料不能作为有力依据，整体方案较差、可行性低，基本符合招标文件要求，得3分； 4.没有提供方案的，不得分。</w:t>
            </w:r>
          </w:p>
        </w:tc>
      </w:tr>
      <w:tr>
        <w:tc>
          <w:tcPr>
            <w:tcW w:type="dxa" w:w="922"/>
            <w:gridSpan w:val="2"/>
            <w:vMerge/>
          </w:tcPr>
          <w:p/>
        </w:tc>
        <w:tc>
          <w:tcPr>
            <w:tcW w:type="dxa" w:w="2307"/>
          </w:tcPr>
          <w:p>
            <w:pPr>
              <w:jc w:val="left"/>
            </w:pPr>
            <w:r>
              <w:rPr/>
              <w:t>针对本项目的实施方案 (6.0分)</w:t>
            </w:r>
            <w:r>
              <w:rPr/>
              <w:t>，（等次分值选择：</w:t>
            </w:r>
            <w:r>
              <w:rPr/>
              <w:t>0.0;</w:t>
            </w:r>
            <w:r>
              <w:rPr/>
              <w:t>2.0;</w:t>
            </w:r>
            <w:r>
              <w:rPr/>
              <w:t>4.0;</w:t>
            </w:r>
            <w:r>
              <w:rPr/>
              <w:t>6.0;</w:t>
            </w:r>
            <w:r>
              <w:rPr/>
              <w:t>）</w:t>
            </w:r>
          </w:p>
        </w:tc>
        <w:tc>
          <w:tcPr>
            <w:tcW w:type="dxa" w:w="5076"/>
          </w:tcPr>
          <w:p>
            <w:pPr>
              <w:jc w:val="left"/>
            </w:pPr>
            <w:r>
              <w:rPr/>
              <w:t>根据投标人提出的针对本项目的应急抽检、专项抽检实施方案，包括但不限于突发事件应急抽检、夜间紧急抽检、突击抽检等进行评审： 1.方案包括以上所提到的所有方案，且方案科学、合理、可行性高，并能提供相应的数据或证明材料作为辅证资料，完全符合招标文件要求，得6分； 2.方案包括以上所提到的所有方案，方案相对科学合理、可行性较高，但缺乏数据和资料证明或证明资料不足，符合招标文件要求，得4分； 3.方案有不全或方案比较单一，没有提供数据或证明材料或证明材料不能作为有力依据，整体方案较差、可行性低，基本符合招标文件要求，得2分。 4.不提供方案的，不得分。</w:t>
            </w:r>
          </w:p>
        </w:tc>
      </w:tr>
      <w:tr>
        <w:tc>
          <w:tcPr>
            <w:tcW w:type="dxa" w:w="922"/>
            <w:gridSpan w:val="2"/>
            <w:vMerge/>
          </w:tcPr>
          <w:p/>
        </w:tc>
        <w:tc>
          <w:tcPr>
            <w:tcW w:type="dxa" w:w="2307"/>
          </w:tcPr>
          <w:p>
            <w:pPr>
              <w:jc w:val="left"/>
            </w:pPr>
            <w:r>
              <w:rPr/>
              <w:t>拟投入本项目的快检试剂 (16.0分)</w:t>
            </w:r>
          </w:p>
        </w:tc>
        <w:tc>
          <w:tcPr>
            <w:tcW w:type="dxa" w:w="5076"/>
          </w:tcPr>
          <w:p>
            <w:pPr>
              <w:jc w:val="left"/>
            </w:pPr>
            <w:r>
              <w:rPr/>
              <w:t>投标人所使用的快检试剂通过市场监督管理部门组织或检验机构评价验证的，每1个产品得0.5分，最多得16分。 注：须同时提供（1）拟投入本项目的快检设备或试剂的承诺函；（2）市场监督管理部门评价结果通知公告或评价验证报告等证明材料复印件，并加盖投标人公章，否则不得分。</w:t>
            </w:r>
          </w:p>
        </w:tc>
      </w:tr>
      <w:tr>
        <w:tc>
          <w:tcPr>
            <w:tcW w:type="dxa" w:w="922"/>
            <w:gridSpan w:val="2"/>
            <w:vMerge/>
          </w:tcPr>
          <w:p/>
        </w:tc>
        <w:tc>
          <w:tcPr>
            <w:tcW w:type="dxa" w:w="2307"/>
          </w:tcPr>
          <w:p>
            <w:pPr>
              <w:jc w:val="left"/>
            </w:pPr>
            <w:r>
              <w:rPr/>
              <w:t>投标人承检项目能力 (8.0分)</w:t>
            </w:r>
          </w:p>
        </w:tc>
        <w:tc>
          <w:tcPr>
            <w:tcW w:type="dxa" w:w="5076"/>
          </w:tcPr>
          <w:p>
            <w:pPr>
              <w:jc w:val="left"/>
            </w:pPr>
            <w:r>
              <w:rPr/>
              <w:t>1、投标人具备《国家食品安全监督抽检实施细则（2023年版）》（除第三十三大类外）中的检测项目98%(含)或以上得4分，98%（不含）-95%（含）的得2.5分，95%（不含）-90%（含）的得1分，90%以下的不得分。 2、投标人具备《国家食品安全监督抽检实施细则（2023年版）》中食用农产品（第三十三大类）中98%(含)或以上的检测项目得4分，98%（不含）-95%（含）的得2.5分，95%（不含）-90%（含）的得1分，90%以下的不得分。 注：投标人须提供承诺函并按附件展开计算检测项目覆盖率，承诺函格式自拟。投标人对检测项目列表（表格需含“食品细类（四级）”）说明在其资质附表中的序号，提供CMA资质附表扫描件，不提供不得分。</w:t>
            </w:r>
          </w:p>
        </w:tc>
      </w:tr>
      <w:tr>
        <w:tc>
          <w:tcPr>
            <w:tcW w:type="dxa" w:w="922"/>
            <w:gridSpan w:val="2"/>
            <w:vMerge/>
          </w:tcPr>
          <w:p/>
        </w:tc>
        <w:tc>
          <w:tcPr>
            <w:tcW w:type="dxa" w:w="2307"/>
          </w:tcPr>
          <w:p>
            <w:pPr>
              <w:jc w:val="left"/>
            </w:pPr>
            <w:r>
              <w:rPr/>
              <w:t>快检评价 (8.0分)</w:t>
            </w:r>
            <w:r>
              <w:rPr/>
              <w:t>，（等次分值选择：</w:t>
            </w:r>
            <w:r>
              <w:rPr/>
              <w:t>0.0;</w:t>
            </w:r>
            <w:r>
              <w:rPr/>
              <w:t>2.0;</w:t>
            </w:r>
            <w:r>
              <w:rPr/>
              <w:t>5.0;</w:t>
            </w:r>
            <w:r>
              <w:rPr/>
              <w:t>8.0;</w:t>
            </w:r>
            <w:r>
              <w:rPr/>
              <w:t>）</w:t>
            </w:r>
          </w:p>
        </w:tc>
        <w:tc>
          <w:tcPr>
            <w:tcW w:type="dxa" w:w="5076"/>
          </w:tcPr>
          <w:p>
            <w:pPr>
              <w:jc w:val="left"/>
            </w:pPr>
            <w:r>
              <w:rPr/>
              <w:t>投标人参加2023年省级或以上食品安全监管部门组织的食用农产品快检工作监督评价，根据评价结果进行评审： 1、评价得分≥95分，得8分； 2、95分＞评价得分≥90分，得5分； 3、90分＞评价得分≥85分，得2分； 4、评价得分＜85分，不得分。 注:本项最高得8分，投标人须提供省级或以上食品安全监管部门组织的食用农产品快检工作监督评价结果通报扫描件并加盖投标人公章为评审依据，不提供不得分。</w:t>
            </w:r>
          </w:p>
        </w:tc>
      </w:tr>
      <w:tr>
        <w:tc>
          <w:tcPr>
            <w:tcW w:type="dxa" w:w="922"/>
            <w:gridSpan w:val="2"/>
            <w:vMerge/>
          </w:tcPr>
          <w:p/>
        </w:tc>
        <w:tc>
          <w:tcPr>
            <w:tcW w:type="dxa" w:w="2307"/>
          </w:tcPr>
          <w:p>
            <w:pPr>
              <w:jc w:val="left"/>
            </w:pPr>
            <w:r>
              <w:rPr/>
              <w:t>服务质量保证及售后服务能力 (3.0分)</w:t>
            </w:r>
            <w:r>
              <w:rPr/>
              <w:t>，（等次分值选择：</w:t>
            </w:r>
            <w:r>
              <w:rPr/>
              <w:t>0.0;</w:t>
            </w:r>
            <w:r>
              <w:rPr/>
              <w:t>1.0;</w:t>
            </w:r>
            <w:r>
              <w:rPr/>
              <w:t>2.0;</w:t>
            </w:r>
            <w:r>
              <w:rPr/>
              <w:t>3.0;</w:t>
            </w:r>
            <w:r>
              <w:rPr/>
              <w:t>）</w:t>
            </w:r>
          </w:p>
        </w:tc>
        <w:tc>
          <w:tcPr>
            <w:tcW w:type="dxa" w:w="5076"/>
          </w:tcPr>
          <w:p>
            <w:pPr>
              <w:jc w:val="left"/>
            </w:pPr>
            <w:r>
              <w:rPr/>
              <w:t>根据各投标人提供的服务质量保证方案、反应时间等进行评审： 1.投标人提供的服务方案详细可行，反应的时间明确清晰并优于招标文件要求的，得3分。 2.投标人提供的服务方案较详细、可行，反应的时间较明确清晰并满足招标文件要求的，得2分。 3.投标人提供的服务方案尚可，可行性较低，反应时间基本明确但不满足招标文件要求的，得1分。 4.投标人提供的服务方案比较简单，反应时间不明确，或不提供服务方案的，不得分。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投标人具有：1.职业健康安全体系认证证书；2.环境管理体系认证证书；3.质量管理体系认证证书；每提供1个认证证书的得1分，最高得3分。 注：同时提供相关的证书扫描件和全国认证认可信息网（http://cx.cnca.cn）查询“有效”截图作为证明材料，已失效、暂停、撤销或不提供不得分。</w:t>
            </w:r>
          </w:p>
        </w:tc>
      </w:tr>
      <w:tr>
        <w:tc>
          <w:tcPr>
            <w:tcW w:type="dxa" w:w="922"/>
            <w:gridSpan w:val="2"/>
            <w:vMerge/>
          </w:tcPr>
          <w:p/>
        </w:tc>
        <w:tc>
          <w:tcPr>
            <w:tcW w:type="dxa" w:w="2307"/>
          </w:tcPr>
          <w:p>
            <w:pPr>
              <w:jc w:val="left"/>
            </w:pPr>
            <w:r>
              <w:rPr/>
              <w:t>同类业绩 (22.0分)</w:t>
            </w:r>
          </w:p>
        </w:tc>
        <w:tc>
          <w:tcPr>
            <w:tcW w:type="dxa" w:w="5076"/>
          </w:tcPr>
          <w:p>
            <w:pPr>
              <w:jc w:val="left"/>
            </w:pPr>
            <w:r>
              <w:rPr/>
              <w:t>1、投标人2021年1月1日至今（以合同签订时间为准）已完成同类快速检测项目的（由评委会认定是否属于同类项目），每提供一份得1分，本项最高得6分；2、在上述业绩的基础上每提供一个实验室得0.25分，本项最高得10分；3、投标人2021年1月1日至今（以合同签订时间为准）已完成食品安全抽检项目（如：监督抽检、风险监测、评价性抽检、专项抽检等类型）的，每提供一份得0.5分，本项最高得6分； 注：（1）、（3）须提供合同关键页扫描件并加盖投标人公章，每个合同只按一项计算，续签的合同不重复计算。（2）须提供合同扫描件（体现快检实验室的数量）并加盖投标人公章。</w:t>
            </w:r>
          </w:p>
        </w:tc>
      </w:tr>
      <w:tr>
        <w:tc>
          <w:tcPr>
            <w:tcW w:type="dxa" w:w="922"/>
            <w:gridSpan w:val="2"/>
            <w:vMerge/>
          </w:tcPr>
          <w:p/>
        </w:tc>
        <w:tc>
          <w:tcPr>
            <w:tcW w:type="dxa" w:w="2307"/>
          </w:tcPr>
          <w:p>
            <w:pPr>
              <w:jc w:val="left"/>
            </w:pPr>
            <w:r>
              <w:rPr/>
              <w:t>拟投入本项目车辆 (4.0分)</w:t>
            </w:r>
          </w:p>
        </w:tc>
        <w:tc>
          <w:tcPr>
            <w:tcW w:type="dxa" w:w="5076"/>
          </w:tcPr>
          <w:p>
            <w:pPr>
              <w:jc w:val="left"/>
            </w:pPr>
            <w:r>
              <w:rPr/>
              <w:t>每提供1辆配备便携式车载冰箱（体积需达100升或以上）的车辆得0.5分，100升以下0.1分。 注：（1）若为自有（指车辆行驶证上的所有人为投标人）的，须在投标文件中提供机动行驶证扫描件；若为租赁的，须在投标文件中同时提供有效的车辆租赁协议（租赁期须包含本项目服务期，如不包含应提供承诺函，格式自拟）和机动车行驶证扫描件，否则不得分。（2）须提供便携式车载冰箱的清晰照片（照片或者发票需显示容升数），否则不得分。（3）便携式车载冰箱可为一台或多台。</w:t>
            </w:r>
          </w:p>
        </w:tc>
      </w:tr>
      <w:tr>
        <w:tc>
          <w:tcPr>
            <w:tcW w:type="dxa" w:w="922"/>
            <w:gridSpan w:val="2"/>
            <w:vMerge/>
          </w:tcPr>
          <w:p/>
        </w:tc>
        <w:tc>
          <w:tcPr>
            <w:tcW w:type="dxa" w:w="2307"/>
          </w:tcPr>
          <w:p>
            <w:pPr>
              <w:jc w:val="left"/>
            </w:pPr>
            <w:r>
              <w:rPr/>
              <w:t>拟投入本项目的人员 (6.0分)</w:t>
            </w:r>
          </w:p>
        </w:tc>
        <w:tc>
          <w:tcPr>
            <w:tcW w:type="dxa" w:w="5076"/>
          </w:tcPr>
          <w:p>
            <w:pPr>
              <w:jc w:val="left"/>
            </w:pPr>
            <w:r>
              <w:rPr/>
              <w:t>1、快速检测及抽样人员具有市场监管部门或农业系统或质监系统或质检协会或计量协会颁发的与快速检测和抽样相关证书，每1人得0.1分，本项最高得1分。 2、拟投入本项目的人员中，具有与本项目相关专业中级或以上职称的，每1人得0.3分，本项最高得3分。 3、拟投入本项目的人员中，具有检验检测机构资质认定评审员的，每1人得1分，本项最高得2分。 注：同一人员具有多项证书可重复得分；须同时提供相关证明材料（第1、2小项须提供人员名单、相关证书，第3小项须提供网页公告或政府部门发布的文件）以及投标文件提交截止前6个月内任意一个月投投标人为其缴纳社会保险证明的扫描件等证明文件扫描件，如依法免税或不需要缴纳社会保障资金的，提供相应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sz w:val="68"/>
        </w:rPr>
        <w:t>佛山市政府采购项目</w:t>
      </w:r>
    </w:p>
    <w:p>
      <w:pPr>
        <w:jc w:val="center"/>
      </w:pPr>
    </w:p>
    <w:p>
      <w:pPr>
        <w:jc w:val="center"/>
      </w:pPr>
      <w:r>
        <w:rPr>
          <w:sz w:val="68"/>
        </w:rPr>
        <w:t>合同书</w:t>
      </w:r>
    </w:p>
    <w:p>
      <w:pPr>
        <w:jc w:val="center"/>
      </w:pPr>
    </w:p>
    <w:p>
      <w:pPr>
        <w:jc w:val="center"/>
      </w:pPr>
    </w:p>
    <w:p>
      <w:pPr>
        <w:jc w:val="center"/>
      </w:pPr>
    </w:p>
    <w:p>
      <w:pPr>
        <w:jc w:val="both"/>
      </w:pPr>
      <w:r>
        <w:rPr>
          <w:b/>
          <w:sz w:val="24"/>
        </w:rPr>
        <w:t>项目编号：</w:t>
      </w:r>
      <w:r>
        <w:rPr>
          <w:b/>
          <w:sz w:val="24"/>
        </w:rPr>
        <w:t>BDGZ2024005</w:t>
      </w:r>
    </w:p>
    <w:p>
      <w:pPr>
        <w:jc w:val="both"/>
      </w:pPr>
      <w:r>
        <w:rPr>
          <w:b/>
          <w:sz w:val="24"/>
        </w:rPr>
        <w:t>项目名称：</w:t>
      </w:r>
      <w:r>
        <w:rPr>
          <w:b/>
          <w:sz w:val="24"/>
        </w:rPr>
        <w:t>顺德区市场监督管理局</w:t>
      </w:r>
      <w:r>
        <w:rPr>
          <w:b/>
          <w:sz w:val="24"/>
        </w:rPr>
        <w:t>2024</w:t>
      </w:r>
      <w:r>
        <w:rPr>
          <w:b/>
          <w:sz w:val="24"/>
        </w:rPr>
        <w:t>年</w:t>
      </w:r>
      <w:r>
        <w:rPr>
          <w:b/>
          <w:sz w:val="24"/>
        </w:rPr>
        <w:t>3</w:t>
      </w:r>
      <w:r>
        <w:rPr>
          <w:b/>
          <w:sz w:val="24"/>
        </w:rPr>
        <w:t>月</w:t>
      </w:r>
      <w:r>
        <w:rPr>
          <w:b/>
          <w:sz w:val="24"/>
        </w:rPr>
        <w:t>-2025</w:t>
      </w:r>
      <w:r>
        <w:rPr>
          <w:b/>
          <w:sz w:val="24"/>
        </w:rPr>
        <w:t>年</w:t>
      </w:r>
      <w:r>
        <w:rPr>
          <w:b/>
          <w:sz w:val="24"/>
        </w:rPr>
        <w:t>2</w:t>
      </w:r>
      <w:r>
        <w:rPr>
          <w:b/>
          <w:sz w:val="24"/>
        </w:rPr>
        <w:t>月食用农产品快速检测项目</w:t>
      </w:r>
    </w:p>
    <w:p>
      <w:pPr>
        <w:jc w:val="both"/>
      </w:pPr>
      <w:r>
        <w:rPr>
          <w:b/>
          <w:sz w:val="24"/>
        </w:rPr>
        <w:t>包组号：采购包</w:t>
      </w:r>
      <w:r>
        <w:rPr>
          <w:b/>
          <w:sz w:val="24"/>
        </w:rPr>
        <w:t>1(</w:t>
      </w:r>
      <w:r>
        <w:rPr>
          <w:b/>
          <w:sz w:val="24"/>
        </w:rPr>
        <w:t>顺德区市场监督管理局</w:t>
      </w:r>
      <w:r>
        <w:rPr>
          <w:b/>
          <w:sz w:val="24"/>
        </w:rPr>
        <w:t>2024</w:t>
      </w:r>
      <w:r>
        <w:rPr>
          <w:b/>
          <w:sz w:val="24"/>
        </w:rPr>
        <w:t>年</w:t>
      </w:r>
      <w:r>
        <w:rPr>
          <w:b/>
          <w:sz w:val="24"/>
        </w:rPr>
        <w:t>3</w:t>
      </w:r>
      <w:r>
        <w:rPr>
          <w:b/>
          <w:sz w:val="24"/>
        </w:rPr>
        <w:t>月</w:t>
      </w:r>
      <w:r>
        <w:rPr>
          <w:b/>
          <w:sz w:val="24"/>
        </w:rPr>
        <w:t>-2025</w:t>
      </w:r>
      <w:r>
        <w:rPr>
          <w:b/>
          <w:sz w:val="24"/>
        </w:rPr>
        <w:t>年</w:t>
      </w:r>
      <w:r>
        <w:rPr>
          <w:b/>
          <w:sz w:val="24"/>
        </w:rPr>
        <w:t>2</w:t>
      </w:r>
      <w:r>
        <w:rPr>
          <w:b/>
          <w:sz w:val="24"/>
        </w:rPr>
        <w:t>月食用农产品快速检测</w:t>
      </w:r>
      <w:r>
        <w:rPr>
          <w:b/>
          <w:sz w:val="24"/>
        </w:rPr>
        <w:t>-</w:t>
      </w:r>
      <w:r>
        <w:rPr>
          <w:b/>
          <w:sz w:val="24"/>
        </w:rPr>
        <w:t>包</w:t>
      </w:r>
      <w:r>
        <w:rPr>
          <w:b/>
          <w:sz w:val="24"/>
        </w:rPr>
        <w:t>1)</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佛山市顺德区市场监督管理局</w:t>
            </w:r>
            <w:r>
              <w:rPr>
                <w:sz w:val="21"/>
                <w:u w:val="single"/>
              </w:rPr>
              <w:t xml:space="preserve">  </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2024</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both"/>
      </w:pPr>
    </w:p>
    <w:p>
      <w:pPr>
        <w:jc w:val="center"/>
      </w:pPr>
      <w:r>
        <w:rPr>
          <w:sz w:val="21"/>
        </w:rPr>
        <w:t xml:space="preserve"> </w:t>
      </w:r>
      <w:r>
        <w:rPr>
          <w:b/>
          <w:sz w:val="44"/>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8"/>
        <w:gridCol w:w="6678"/>
      </w:tblGrid>
      <w:tr>
        <w:tc>
          <w:tcPr>
            <w:tcW w:type="dxa" w:w="162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顺德区市场监督管理局</w:t>
            </w:r>
            <w:r>
              <w:rPr>
                <w:sz w:val="21"/>
                <w:u w:val="single"/>
              </w:rPr>
              <w:t>2024</w:t>
            </w:r>
            <w:r>
              <w:rPr>
                <w:sz w:val="21"/>
                <w:u w:val="single"/>
              </w:rPr>
              <w:t>年</w:t>
            </w:r>
            <w:r>
              <w:rPr>
                <w:sz w:val="21"/>
                <w:u w:val="single"/>
              </w:rPr>
              <w:t>3</w:t>
            </w:r>
            <w:r>
              <w:rPr>
                <w:sz w:val="21"/>
                <w:u w:val="single"/>
              </w:rPr>
              <w:t>月</w:t>
            </w:r>
            <w:r>
              <w:rPr>
                <w:sz w:val="21"/>
                <w:u w:val="single"/>
              </w:rPr>
              <w:t>-2025</w:t>
            </w:r>
            <w:r>
              <w:rPr>
                <w:sz w:val="21"/>
                <w:u w:val="single"/>
              </w:rPr>
              <w:t>年</w:t>
            </w:r>
            <w:r>
              <w:rPr>
                <w:sz w:val="21"/>
                <w:u w:val="single"/>
              </w:rPr>
              <w:t>2</w:t>
            </w:r>
            <w:r>
              <w:rPr>
                <w:sz w:val="21"/>
                <w:u w:val="single"/>
              </w:rPr>
              <w:t>月食用农产品快速检测项目</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78"/>
            <w:tcBorders>
              <w:top w:val="none" w:color="000000" w:sz="4"/>
              <w:left w:val="none" w:color="000000" w:sz="4"/>
              <w:bottom w:val="none" w:color="000000" w:sz="4"/>
              <w:right w:val="none" w:color="000000" w:sz="4"/>
            </w:tcBorders>
            <w:vAlign w:val="top"/>
          </w:tcPr>
          <w:p>
            <w:pPr>
              <w:jc w:val="both"/>
            </w:pPr>
            <w:r>
              <w:rPr>
                <w:sz w:val="21"/>
              </w:rPr>
              <w:t>BDGZ2024005</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rPr>
              <w:t>佛山市顺德区市场监督管理局</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乙</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（中标人名称）</w:t>
            </w:r>
            <w:r>
              <w:rPr>
                <w:sz w:val="21"/>
                <w:u w:val="single"/>
              </w:rPr>
              <w:t xml:space="preserve">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包组号：</w:t>
            </w:r>
          </w:p>
        </w:tc>
        <w:tc>
          <w:tcPr>
            <w:tcW w:type="dxa" w:w="6678"/>
            <w:tcBorders>
              <w:top w:val="none" w:color="000000" w:sz="4"/>
              <w:left w:val="none" w:color="000000" w:sz="4"/>
              <w:bottom w:val="none" w:color="000000" w:sz="4"/>
              <w:right w:val="none" w:color="000000" w:sz="4"/>
            </w:tcBorders>
            <w:vAlign w:val="top"/>
          </w:tcPr>
          <w:p>
            <w:pPr>
              <w:jc w:val="both"/>
            </w:pPr>
            <w:r>
              <w:rPr>
                <w:sz w:val="21"/>
              </w:rPr>
              <w:t>采购包</w:t>
            </w:r>
            <w:r>
              <w:rPr>
                <w:sz w:val="21"/>
              </w:rPr>
              <w:t>1(</w:t>
            </w:r>
            <w:r>
              <w:rPr>
                <w:sz w:val="21"/>
              </w:rPr>
              <w:t>顺德区市场监督管理局</w:t>
            </w:r>
            <w:r>
              <w:rPr>
                <w:sz w:val="21"/>
              </w:rPr>
              <w:t>2024</w:t>
            </w:r>
            <w:r>
              <w:rPr>
                <w:sz w:val="21"/>
              </w:rPr>
              <w:t>年</w:t>
            </w:r>
            <w:r>
              <w:rPr>
                <w:sz w:val="21"/>
              </w:rPr>
              <w:t>3</w:t>
            </w:r>
            <w:r>
              <w:rPr>
                <w:sz w:val="21"/>
              </w:rPr>
              <w:t>月</w:t>
            </w:r>
            <w:r>
              <w:rPr>
                <w:sz w:val="21"/>
              </w:rPr>
              <w:t>-2025</w:t>
            </w:r>
            <w:r>
              <w:rPr>
                <w:sz w:val="21"/>
              </w:rPr>
              <w:t>年</w:t>
            </w:r>
            <w:r>
              <w:rPr>
                <w:sz w:val="21"/>
              </w:rPr>
              <w:t>2</w:t>
            </w:r>
            <w:r>
              <w:rPr>
                <w:sz w:val="21"/>
              </w:rPr>
              <w:t>月食用农产品快速检测</w:t>
            </w:r>
            <w:r>
              <w:rPr>
                <w:sz w:val="21"/>
              </w:rPr>
              <w:t>-</w:t>
            </w:r>
            <w:r>
              <w:rPr>
                <w:sz w:val="21"/>
              </w:rPr>
              <w:t>包</w:t>
            </w:r>
            <w:r>
              <w:rPr>
                <w:sz w:val="21"/>
              </w:rPr>
              <w:t>1)</w:t>
            </w:r>
          </w:p>
        </w:tc>
      </w:tr>
    </w:tbl>
    <w:p>
      <w:pPr>
        <w:ind w:firstLine="420"/>
        <w:jc w:val="both"/>
      </w:pPr>
      <w:r>
        <w:rPr>
          <w:color w:val="000000"/>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sz w:val="21"/>
        </w:rPr>
        <w:t>采样及检测服务</w:t>
      </w:r>
    </w:p>
    <w:p>
      <w:pPr>
        <w:jc w:val="both"/>
      </w:pPr>
      <w:r>
        <w:rPr>
          <w:sz w:val="21"/>
        </w:rPr>
        <w:t>（一）乙方必须严格按照《市场监管总局关于规范食品快速检测使用的意见》（国市监食检规〔</w:t>
      </w:r>
      <w:r>
        <w:rPr>
          <w:sz w:val="21"/>
        </w:rPr>
        <w:t>2023</w:t>
      </w:r>
      <w:r>
        <w:rPr>
          <w:sz w:val="21"/>
        </w:rPr>
        <w:t>〕</w:t>
      </w:r>
      <w:r>
        <w:rPr>
          <w:sz w:val="21"/>
        </w:rPr>
        <w:t>1</w:t>
      </w:r>
      <w:r>
        <w:rPr>
          <w:sz w:val="21"/>
        </w:rPr>
        <w:t>号）、《关于进一步规范农贸市场快检工作的通知》（粤食药监办食农〔</w:t>
      </w:r>
      <w:r>
        <w:rPr>
          <w:sz w:val="21"/>
        </w:rPr>
        <w:t>2016</w:t>
      </w:r>
      <w:r>
        <w:rPr>
          <w:sz w:val="21"/>
        </w:rPr>
        <w:t>〕</w:t>
      </w:r>
      <w:r>
        <w:rPr>
          <w:sz w:val="21"/>
        </w:rPr>
        <w:t>389</w:t>
      </w:r>
      <w:r>
        <w:rPr>
          <w:sz w:val="21"/>
        </w:rPr>
        <w:t>号）、《广东省市场监督管理局关于印发</w:t>
      </w:r>
      <w:r>
        <w:rPr>
          <w:sz w:val="21"/>
        </w:rPr>
        <w:t>2024</w:t>
      </w:r>
      <w:r>
        <w:rPr>
          <w:sz w:val="21"/>
        </w:rPr>
        <w:t>年全省食用农产品快速检测工作方案的通知》（粤市监食经〔</w:t>
      </w:r>
      <w:r>
        <w:rPr>
          <w:sz w:val="21"/>
        </w:rPr>
        <w:t>2024</w:t>
      </w:r>
      <w:r>
        <w:rPr>
          <w:sz w:val="21"/>
        </w:rPr>
        <w:t>〕</w:t>
      </w:r>
      <w:r>
        <w:rPr>
          <w:sz w:val="21"/>
        </w:rPr>
        <w:t>45</w:t>
      </w:r>
      <w:r>
        <w:rPr>
          <w:sz w:val="21"/>
        </w:rPr>
        <w:t>号</w:t>
      </w:r>
      <w:r>
        <w:rPr>
          <w:sz w:val="21"/>
        </w:rPr>
        <w:t>)</w:t>
      </w:r>
      <w:r>
        <w:rPr>
          <w:sz w:val="21"/>
        </w:rPr>
        <w:t>、《广东省市场监督管理局办公室关于委托省食品检验所对食用农产品快检工作开展监督及质量评价的通知》（粤市监办发〔</w:t>
      </w:r>
      <w:r>
        <w:rPr>
          <w:sz w:val="21"/>
        </w:rPr>
        <w:t>2023</w:t>
      </w:r>
      <w:r>
        <w:rPr>
          <w:sz w:val="21"/>
        </w:rPr>
        <w:t>〕</w:t>
      </w:r>
      <w:r>
        <w:rPr>
          <w:sz w:val="21"/>
        </w:rPr>
        <w:t>994</w:t>
      </w:r>
      <w:r>
        <w:rPr>
          <w:sz w:val="21"/>
        </w:rPr>
        <w:t>号）等相关规定要求（当本项目相关技术文件更新时，以更新后的版本为准。如国家、省另有最新的技术规定，则以相应最新规定执行）以及快检设备、快检试剂操作使用方法（有国家规定快速检测方法的不得使用其他方法），按程序、依步骤开展快检，做好抽样、检验、结果记录和公示结果照片记录，做好留样工作，准确填写和妥善保存相关信息记录，确保数据溯源性，以备核查。</w:t>
      </w:r>
    </w:p>
    <w:p>
      <w:pPr>
        <w:jc w:val="both"/>
      </w:pPr>
      <w:r>
        <w:rPr>
          <w:sz w:val="21"/>
        </w:rPr>
        <w:t>（二）对快检不合格食用农产品，乙方需规范填写快检不合格结果告知书，按规定时间（快检完成后</w:t>
      </w:r>
      <w:r>
        <w:rPr>
          <w:sz w:val="21"/>
        </w:rPr>
        <w:t>0.5</w:t>
      </w:r>
      <w:r>
        <w:rPr>
          <w:sz w:val="21"/>
        </w:rPr>
        <w:t>小时）内通知被抽样方</w:t>
      </w:r>
      <w:r>
        <w:rPr>
          <w:sz w:val="21"/>
        </w:rPr>
        <w:t>，</w:t>
      </w:r>
      <w:r>
        <w:rPr>
          <w:sz w:val="21"/>
        </w:rPr>
        <w:t>并向经营者送达快检不合格结果告知书，通知经营者立即暂停销售。经营者认可快检结果的，</w:t>
      </w:r>
      <w:r>
        <w:rPr>
          <w:sz w:val="21"/>
        </w:rPr>
        <w:t>通知</w:t>
      </w:r>
      <w:r>
        <w:rPr>
          <w:sz w:val="21"/>
        </w:rPr>
        <w:t>市场开办者监督经营者现场销毁，对整个销毁过程进行拍照（照片必须体现销毁过程）或视频取证并按对应的告知书编号保存，填写销毁记录表、如实记录不合格产品来源信息，督促食用农产品经营者落实进货查验记录制度等。乙方需现场指导经营者严格按照广东省市场监督管理局、佛山市市场监督管理局要求及时做好不合格产品销毁处置工作，防止不合格食用农产品回流市场，并督促经营者落实食品召回制度。经营者提出异议的，乙方要通知属地市场监管所并进行监督抽检，检验期间，责令经营者暂停销售快检不合格的食用农产品。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对广东省市场监督管理局明确规定快速检测结果呈阳性应启动抽样检验程序的检测项目检出的不合格样品、被抽样单位有异议提出复检的不合格样品，由乙方的法检实验室负责进行法检确认和监督抽检，并及时出具书面检验报告给属地市场监管所依法处理。</w:t>
      </w:r>
    </w:p>
    <w:p>
      <w:pPr>
        <w:jc w:val="both"/>
      </w:pPr>
      <w:r>
        <w:rPr>
          <w:sz w:val="21"/>
        </w:rPr>
        <w:t>（三）为做好阳性样品的后续跟踪处理及相关追溯调查，要求乙方具备的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号）中的附件《</w:t>
      </w:r>
      <w:r>
        <w:rPr>
          <w:sz w:val="21"/>
        </w:rPr>
        <w:t>2023</w:t>
      </w:r>
      <w:r>
        <w:rPr>
          <w:sz w:val="21"/>
        </w:rPr>
        <w:t>年食用农产品监督抽检品种、项目表》的检测项目。并根据省农业厅（农业农村厅）的强制要求参加省农业厅（农业农村厅）组织的能力验证，确保其食用农产品的法定检测资质持续有效。</w:t>
      </w:r>
    </w:p>
    <w:p>
      <w:pPr>
        <w:jc w:val="both"/>
      </w:pPr>
      <w:r>
        <w:rPr>
          <w:sz w:val="21"/>
        </w:rPr>
        <w:t>（四）所有的快检数据要按规定格式实时上传至广东省快检平台。上传食用农产品快检信息包括样品名称、产地、数量、供货单位、被抽检单位、不合格项目等信息。原则上要当天上传，由于停电、设备故障等特殊原因（不可抗力），可在</w:t>
      </w:r>
      <w:r>
        <w:rPr>
          <w:sz w:val="21"/>
        </w:rPr>
        <w:t>48</w:t>
      </w:r>
      <w:r>
        <w:rPr>
          <w:sz w:val="21"/>
        </w:rPr>
        <w:t>小时内补录。乙方要加强对上传数据的检查，对错报、漏报的，要第一时间进行改正，保证平台数据的准确性和规范性。</w:t>
      </w:r>
    </w:p>
    <w:p>
      <w:pPr>
        <w:jc w:val="both"/>
      </w:pPr>
      <w:r>
        <w:rPr>
          <w:sz w:val="21"/>
        </w:rPr>
        <w:t>（五）乙方每月需至少开展一次</w:t>
      </w:r>
      <w:r>
        <w:rPr>
          <w:sz w:val="21"/>
        </w:rPr>
        <w:t>“你点我检” “你送我检”等便民活动，加强与市民的互动，增强市民参与度和知晓度，提高快检工作的社会效果。</w:t>
      </w:r>
    </w:p>
    <w:p>
      <w:pPr>
        <w:jc w:val="both"/>
      </w:pPr>
      <w:r>
        <w:rPr>
          <w:b/>
          <w:sz w:val="21"/>
        </w:rPr>
        <w:t>二、</w:t>
      </w:r>
      <w:r>
        <w:rPr>
          <w:b/>
          <w:sz w:val="21"/>
        </w:rPr>
        <w:t>采样及检测服务具体批次要求</w:t>
      </w:r>
    </w:p>
    <w:p>
      <w:pPr>
        <w:ind w:firstLine="420"/>
        <w:jc w:val="both"/>
      </w:pPr>
      <w:r>
        <w:rPr>
          <w:sz w:val="21"/>
        </w:rPr>
        <w:t>具体抽检要求及批次经双方协商同意后可根据广东省市场监督管理局、佛山市市场监督管理局最新文件要求和工作实际进行调整，项目服务期间抽检批次不得少于下表中约定的检测任务数。</w:t>
      </w:r>
    </w:p>
    <w:tbl>
      <w:tblPr>
        <w:tblW w:w="0" w:type="auto"/>
        <w:tblBorders>
          <w:top w:val="none" w:color="000000" w:sz="4"/>
          <w:left w:val="none" w:color="000000" w:sz="4"/>
          <w:bottom w:val="none" w:color="000000" w:sz="4"/>
          <w:right w:val="none" w:color="000000" w:sz="4"/>
          <w:insideH w:val="none"/>
          <w:insideV w:val="none"/>
        </w:tblBorders>
      </w:tblPr>
      <w:tblGrid>
        <w:gridCol w:w="513"/>
        <w:gridCol w:w="1103"/>
        <w:gridCol w:w="789"/>
        <w:gridCol w:w="703"/>
        <w:gridCol w:w="3140"/>
        <w:gridCol w:w="2055"/>
      </w:tblGrid>
      <w:tr>
        <w:tc>
          <w:tcPr>
            <w:tcW w:type="dxa" w:w="513"/>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03"/>
            <w:tcBorders>
              <w:top w:val="single" w:color="000000" w:sz="4"/>
              <w:left w:val="none" w:color="000000" w:sz="4"/>
              <w:bottom w:val="single" w:color="000000" w:sz="4"/>
              <w:right w:val="single" w:color="000000" w:sz="4"/>
            </w:tcBorders>
            <w:shd w:fill="FFFFFF"/>
            <w:vAlign w:val="top"/>
          </w:tcPr>
          <w:p>
            <w:pPr>
              <w:jc w:val="center"/>
            </w:pPr>
            <w:r>
              <w:rPr>
                <w:sz w:val="21"/>
              </w:rPr>
              <w:t>任务名称</w:t>
            </w:r>
          </w:p>
        </w:tc>
        <w:tc>
          <w:tcPr>
            <w:tcW w:type="dxa" w:w="789"/>
            <w:tcBorders>
              <w:top w:val="single" w:color="000000" w:sz="4"/>
              <w:left w:val="none" w:color="000000" w:sz="4"/>
              <w:bottom w:val="single" w:color="000000" w:sz="4"/>
              <w:right w:val="single" w:color="000000" w:sz="4"/>
            </w:tcBorders>
            <w:shd w:fill="FFFFFF"/>
            <w:vAlign w:val="top"/>
          </w:tcPr>
          <w:p>
            <w:pPr>
              <w:jc w:val="center"/>
            </w:pPr>
            <w:r>
              <w:rPr>
                <w:sz w:val="21"/>
              </w:rPr>
              <w:t>检测品种</w:t>
            </w:r>
          </w:p>
        </w:tc>
        <w:tc>
          <w:tcPr>
            <w:tcW w:type="dxa" w:w="703"/>
            <w:tcBorders>
              <w:top w:val="single" w:color="000000" w:sz="4"/>
              <w:left w:val="none" w:color="000000" w:sz="4"/>
              <w:bottom w:val="single" w:color="000000" w:sz="4"/>
              <w:right w:val="single" w:color="000000" w:sz="4"/>
            </w:tcBorders>
            <w:shd w:fill="FFFFFF"/>
            <w:vAlign w:val="top"/>
          </w:tcPr>
          <w:p>
            <w:pPr>
              <w:jc w:val="center"/>
            </w:pPr>
            <w:r>
              <w:rPr>
                <w:sz w:val="21"/>
              </w:rPr>
              <w:t>检测批次</w:t>
            </w:r>
          </w:p>
        </w:tc>
        <w:tc>
          <w:tcPr>
            <w:tcW w:type="dxa" w:w="3140"/>
            <w:tcBorders>
              <w:top w:val="single" w:color="000000" w:sz="4"/>
              <w:left w:val="none" w:color="000000" w:sz="4"/>
              <w:bottom w:val="single" w:color="000000" w:sz="4"/>
              <w:right w:val="single" w:color="000000" w:sz="4"/>
            </w:tcBorders>
            <w:shd w:fill="FFFFFF"/>
            <w:vAlign w:val="top"/>
          </w:tcPr>
          <w:p>
            <w:pPr>
              <w:jc w:val="center"/>
            </w:pPr>
            <w:r>
              <w:rPr>
                <w:sz w:val="21"/>
              </w:rPr>
              <w:t>具体要求</w:t>
            </w:r>
          </w:p>
        </w:tc>
        <w:tc>
          <w:tcPr>
            <w:tcW w:type="dxa" w:w="2055"/>
            <w:tcBorders>
              <w:top w:val="single" w:color="000000" w:sz="4"/>
              <w:left w:val="none" w:color="000000" w:sz="4"/>
              <w:bottom w:val="single" w:color="000000" w:sz="4"/>
              <w:right w:val="single" w:color="000000" w:sz="4"/>
            </w:tcBorders>
            <w:shd w:fill="FFFFFF"/>
            <w:vAlign w:val="top"/>
          </w:tcPr>
          <w:p>
            <w:pPr>
              <w:jc w:val="center"/>
            </w:pPr>
            <w:r>
              <w:rPr>
                <w:sz w:val="21"/>
              </w:rPr>
              <w:t>备注</w:t>
            </w:r>
          </w:p>
        </w:tc>
      </w:tr>
      <w:tr>
        <w:tc>
          <w:tcPr>
            <w:tcW w:type="dxa" w:w="513"/>
            <w:vMerge w:val="restart"/>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03"/>
            <w:vMerge w:val="restart"/>
            <w:tcBorders>
              <w:top w:val="none" w:color="000000" w:sz="4"/>
              <w:left w:val="none" w:color="000000" w:sz="4"/>
              <w:bottom w:val="single" w:color="000000" w:sz="4"/>
              <w:right w:val="single" w:color="000000" w:sz="4"/>
            </w:tcBorders>
            <w:shd w:fill="FFFFFF"/>
            <w:vAlign w:val="top"/>
          </w:tcPr>
          <w:p>
            <w:pPr>
              <w:jc w:val="center"/>
            </w:pPr>
            <w:r>
              <w:rPr>
                <w:sz w:val="21"/>
              </w:rPr>
              <w:t>57</w:t>
            </w:r>
            <w:r>
              <w:rPr>
                <w:sz w:val="21"/>
              </w:rPr>
              <w:t>家农贸市场（零售市场）专项检测任务</w:t>
            </w:r>
          </w:p>
        </w:tc>
        <w:tc>
          <w:tcPr>
            <w:tcW w:type="dxa" w:w="789"/>
            <w:tcBorders>
              <w:top w:val="none" w:color="000000" w:sz="4"/>
              <w:left w:val="none" w:color="000000" w:sz="4"/>
              <w:bottom w:val="none" w:color="000000" w:sz="4"/>
              <w:right w:val="single" w:color="000000" w:sz="4"/>
            </w:tcBorders>
            <w:shd w:fill="FFFFFF"/>
            <w:vAlign w:val="top"/>
          </w:tcPr>
          <w:p>
            <w:pPr>
              <w:jc w:val="center"/>
            </w:pPr>
            <w:r>
              <w:rPr>
                <w:sz w:val="21"/>
              </w:rPr>
              <w:t>蔬菜类</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54720</w:t>
            </w:r>
          </w:p>
        </w:tc>
        <w:tc>
          <w:tcPr>
            <w:tcW w:type="dxa" w:w="3140"/>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家农贸市场，每个零售市场每月检测数量不少于</w:t>
            </w:r>
            <w:r>
              <w:rPr>
                <w:sz w:val="21"/>
              </w:rPr>
              <w:t>100</w:t>
            </w:r>
            <w:r>
              <w:rPr>
                <w:sz w:val="21"/>
              </w:rPr>
              <w:t>批次，蔬菜不少于</w:t>
            </w:r>
            <w:r>
              <w:rPr>
                <w:sz w:val="21"/>
              </w:rPr>
              <w:t>80</w:t>
            </w:r>
            <w:r>
              <w:rPr>
                <w:sz w:val="21"/>
              </w:rPr>
              <w:t>批次（胶体金占比不低于</w:t>
            </w:r>
            <w:r>
              <w:rPr>
                <w:sz w:val="21"/>
              </w:rPr>
              <w:t>50%</w:t>
            </w:r>
            <w:r>
              <w:rPr>
                <w:sz w:val="21"/>
              </w:rPr>
              <w:t>），水产品不少于</w:t>
            </w:r>
            <w:r>
              <w:rPr>
                <w:sz w:val="21"/>
              </w:rPr>
              <w:t>10</w:t>
            </w:r>
            <w:r>
              <w:rPr>
                <w:sz w:val="21"/>
              </w:rPr>
              <w:t>批次，禽畜肉蛋类不少于</w:t>
            </w:r>
            <w:r>
              <w:rPr>
                <w:sz w:val="21"/>
              </w:rPr>
              <w:t>10</w:t>
            </w:r>
            <w:r>
              <w:rPr>
                <w:sz w:val="21"/>
              </w:rPr>
              <w:t>批次。每周开展快检不少于</w:t>
            </w:r>
            <w:r>
              <w:rPr>
                <w:sz w:val="21"/>
              </w:rPr>
              <w:t>5</w:t>
            </w:r>
            <w:r>
              <w:rPr>
                <w:sz w:val="21"/>
              </w:rPr>
              <w:t>天</w:t>
            </w:r>
            <w:r>
              <w:rPr>
                <w:sz w:val="21"/>
              </w:rPr>
              <w:t>。</w:t>
            </w:r>
          </w:p>
        </w:tc>
        <w:tc>
          <w:tcPr>
            <w:tcW w:type="dxa" w:w="2055"/>
            <w:vMerge w:val="restart"/>
            <w:tcBorders>
              <w:top w:val="none" w:color="000000" w:sz="4"/>
              <w:left w:val="none" w:color="000000" w:sz="4"/>
              <w:bottom w:val="none" w:color="000000" w:sz="4"/>
              <w:right w:val="single" w:color="000000" w:sz="4"/>
            </w:tcBorders>
            <w:shd w:fill="FFFFFF"/>
            <w:vAlign w:val="top"/>
          </w:tcPr>
          <w:p>
            <w:pPr>
              <w:jc w:val="both"/>
            </w:pPr>
            <w:r>
              <w:rPr>
                <w:sz w:val="21"/>
              </w:rPr>
              <w:t>57</w:t>
            </w:r>
            <w:r>
              <w:rPr>
                <w:sz w:val="21"/>
              </w:rPr>
              <w:t>家零售市场分布在</w:t>
            </w:r>
            <w:r>
              <w:rPr>
                <w:sz w:val="21"/>
              </w:rPr>
              <w:t>5</w:t>
            </w:r>
            <w:r>
              <w:rPr>
                <w:sz w:val="21"/>
              </w:rPr>
              <w:t>个镇街，原则上大良</w:t>
            </w:r>
            <w:r>
              <w:rPr>
                <w:sz w:val="21"/>
              </w:rPr>
              <w:t>11</w:t>
            </w:r>
            <w:r>
              <w:rPr>
                <w:sz w:val="21"/>
              </w:rPr>
              <w:t>家、杏坛</w:t>
            </w:r>
            <w:r>
              <w:rPr>
                <w:sz w:val="21"/>
              </w:rPr>
              <w:t>12</w:t>
            </w:r>
            <w:r>
              <w:rPr>
                <w:sz w:val="21"/>
              </w:rPr>
              <w:t>家、均安</w:t>
            </w:r>
            <w:r>
              <w:rPr>
                <w:sz w:val="21"/>
              </w:rPr>
              <w:t>10</w:t>
            </w:r>
            <w:r>
              <w:rPr>
                <w:sz w:val="21"/>
              </w:rPr>
              <w:t>家、容桂</w:t>
            </w:r>
            <w:r>
              <w:rPr>
                <w:sz w:val="21"/>
              </w:rPr>
              <w:t>12</w:t>
            </w:r>
            <w:r>
              <w:rPr>
                <w:sz w:val="21"/>
              </w:rPr>
              <w:t>家、勒流</w:t>
            </w:r>
            <w:r>
              <w:rPr>
                <w:sz w:val="21"/>
              </w:rPr>
              <w:t>12</w:t>
            </w:r>
            <w:r>
              <w:rPr>
                <w:sz w:val="21"/>
              </w:rPr>
              <w:t>家，可根据实际情况调整，此快检任务为广东省市场监督管理局快检专项。</w:t>
            </w:r>
          </w:p>
        </w:tc>
      </w:tr>
      <w:tr>
        <w:tc>
          <w:tcPr>
            <w:tcW w:type="dxa" w:w="513"/>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789"/>
            <w:tcBorders>
              <w:top w:val="single" w:color="000000" w:sz="4"/>
              <w:left w:val="none" w:color="000000" w:sz="4"/>
              <w:bottom w:val="single" w:color="000000" w:sz="4"/>
              <w:right w:val="single" w:color="000000" w:sz="4"/>
            </w:tcBorders>
            <w:shd w:fill="FFFFFF"/>
            <w:vAlign w:val="top"/>
          </w:tcPr>
          <w:p>
            <w:pPr>
              <w:jc w:val="center"/>
            </w:pPr>
            <w:r>
              <w:rPr>
                <w:sz w:val="21"/>
              </w:rPr>
              <w:t>水产品</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6840</w:t>
            </w:r>
          </w:p>
        </w:tc>
      </w:tr>
      <w:tr>
        <w:tc>
          <w:tcPr>
            <w:tcW w:type="dxa" w:w="513"/>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shd w:fill="FFFFFF"/>
            <w:vAlign w:val="top"/>
          </w:tcPr>
          <w:p>
            <w:pPr>
              <w:jc w:val="center"/>
            </w:pPr>
            <w:r>
              <w:rPr>
                <w:sz w:val="21"/>
              </w:rPr>
              <w:t>禽畜肉蛋类</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6840</w:t>
            </w:r>
          </w:p>
        </w:tc>
      </w:tr>
      <w:tr>
        <w:tc>
          <w:tcPr>
            <w:tcW w:type="dxa" w:w="51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03"/>
            <w:tcBorders>
              <w:top w:val="none" w:color="000000" w:sz="4"/>
              <w:left w:val="none" w:color="000000" w:sz="4"/>
              <w:bottom w:val="single" w:color="000000" w:sz="4"/>
              <w:right w:val="single" w:color="000000" w:sz="4"/>
            </w:tcBorders>
            <w:shd w:fill="FFFFFF"/>
            <w:vAlign w:val="top"/>
          </w:tcPr>
          <w:p>
            <w:pPr>
              <w:jc w:val="center"/>
            </w:pPr>
            <w:r>
              <w:rPr>
                <w:sz w:val="21"/>
              </w:rPr>
              <w:t>大良金利蔬菜批发市场专项检测任务</w:t>
            </w:r>
          </w:p>
        </w:tc>
        <w:tc>
          <w:tcPr>
            <w:tcW w:type="dxa" w:w="789"/>
            <w:tcBorders>
              <w:top w:val="none" w:color="000000" w:sz="4"/>
              <w:left w:val="none" w:color="000000" w:sz="4"/>
              <w:bottom w:val="single" w:color="000000" w:sz="4"/>
              <w:right w:val="single" w:color="000000" w:sz="4"/>
            </w:tcBorders>
            <w:shd w:fill="FFFFFF"/>
            <w:vAlign w:val="top"/>
          </w:tcPr>
          <w:p>
            <w:pPr>
              <w:jc w:val="center"/>
            </w:pPr>
            <w:r>
              <w:rPr>
                <w:sz w:val="21"/>
              </w:rPr>
              <w:t>蔬菜类</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9900</w:t>
            </w:r>
          </w:p>
        </w:tc>
        <w:tc>
          <w:tcPr>
            <w:tcW w:type="dxa" w:w="3140"/>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个蔬菜批发市场（金利蔬菜批发市场）每月快检数量不少于</w:t>
            </w:r>
            <w:r>
              <w:rPr>
                <w:sz w:val="21"/>
              </w:rPr>
              <w:t>900</w:t>
            </w:r>
            <w:r>
              <w:rPr>
                <w:sz w:val="21"/>
              </w:rPr>
              <w:t>批次，其中蔬菜胶体金占比不低于蔬菜总批次数的</w:t>
            </w:r>
            <w:r>
              <w:rPr>
                <w:sz w:val="21"/>
              </w:rPr>
              <w:t>50%</w:t>
            </w:r>
            <w:r>
              <w:rPr>
                <w:sz w:val="21"/>
              </w:rPr>
              <w:t>。每周开展快检不少于</w:t>
            </w:r>
            <w:r>
              <w:rPr>
                <w:sz w:val="21"/>
              </w:rPr>
              <w:t>5</w:t>
            </w:r>
            <w:r>
              <w:rPr>
                <w:sz w:val="21"/>
              </w:rPr>
              <w:t>天</w:t>
            </w:r>
            <w:r>
              <w:rPr>
                <w:sz w:val="21"/>
              </w:rPr>
              <w:t>。</w:t>
            </w:r>
          </w:p>
        </w:tc>
        <w:tc>
          <w:tcPr>
            <w:tcW w:type="dxa" w:w="2055"/>
            <w:tcBorders>
              <w:top w:val="none" w:color="000000" w:sz="4"/>
              <w:left w:val="none" w:color="000000" w:sz="4"/>
              <w:bottom w:val="single" w:color="000000" w:sz="4"/>
              <w:right w:val="single" w:color="000000" w:sz="4"/>
            </w:tcBorders>
            <w:shd w:fill="FFFFFF"/>
            <w:vAlign w:val="top"/>
          </w:tcPr>
          <w:p>
            <w:pPr>
              <w:jc w:val="both"/>
            </w:pPr>
            <w:r>
              <w:rPr>
                <w:sz w:val="21"/>
              </w:rPr>
              <w:t>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513"/>
            <w:vMerge w:val="restart"/>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03"/>
            <w:vMerge w:val="restart"/>
            <w:tcBorders>
              <w:top w:val="none" w:color="000000" w:sz="4"/>
              <w:left w:val="none" w:color="000000" w:sz="4"/>
              <w:bottom w:val="none" w:color="000000" w:sz="4"/>
              <w:right w:val="single" w:color="000000" w:sz="4"/>
            </w:tcBorders>
            <w:shd w:fill="FFFFFF"/>
            <w:vAlign w:val="top"/>
          </w:tcPr>
          <w:p>
            <w:pPr>
              <w:jc w:val="center"/>
            </w:pPr>
            <w:r>
              <w:rPr>
                <w:sz w:val="21"/>
              </w:rPr>
              <w:t>2</w:t>
            </w:r>
            <w:r>
              <w:rPr>
                <w:sz w:val="21"/>
              </w:rPr>
              <w:t>台移动检测车日常检测任务</w:t>
            </w:r>
          </w:p>
        </w:tc>
        <w:tc>
          <w:tcPr>
            <w:tcW w:type="dxa" w:w="789"/>
            <w:tcBorders>
              <w:top w:val="none" w:color="000000" w:sz="4"/>
              <w:left w:val="none" w:color="000000" w:sz="4"/>
              <w:bottom w:val="none" w:color="000000" w:sz="4"/>
              <w:right w:val="single" w:color="000000" w:sz="4"/>
            </w:tcBorders>
            <w:shd w:fill="FFFFFF"/>
            <w:vAlign w:val="top"/>
          </w:tcPr>
          <w:p>
            <w:pPr>
              <w:jc w:val="center"/>
            </w:pPr>
            <w:r>
              <w:rPr>
                <w:sz w:val="21"/>
              </w:rPr>
              <w:t>蔬菜类</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21567</w:t>
            </w:r>
          </w:p>
        </w:tc>
        <w:tc>
          <w:tcPr>
            <w:tcW w:type="dxa" w:w="3140"/>
            <w:vMerge w:val="restart"/>
            <w:tcBorders>
              <w:top w:val="none" w:color="000000" w:sz="4"/>
              <w:left w:val="none" w:color="000000" w:sz="4"/>
              <w:bottom w:val="single" w:color="000000" w:sz="4"/>
              <w:right w:val="single" w:color="000000" w:sz="4"/>
            </w:tcBorders>
            <w:shd w:fill="FFFFFF"/>
            <w:vAlign w:val="top"/>
          </w:tcPr>
          <w:p>
            <w:pPr>
              <w:jc w:val="both"/>
            </w:pPr>
            <w:r>
              <w:rPr>
                <w:sz w:val="21"/>
              </w:rPr>
              <w:t>检测范围为</w:t>
            </w:r>
            <w:r>
              <w:rPr>
                <w:sz w:val="21"/>
              </w:rPr>
              <w:t>25</w:t>
            </w:r>
            <w:r>
              <w:rPr>
                <w:sz w:val="21"/>
              </w:rPr>
              <w:t>家零售市场、大型超市、学校食堂、大型餐饮服务单位、连锁食用农产品销售企业。其中</w:t>
            </w:r>
            <w:r>
              <w:rPr>
                <w:sz w:val="21"/>
              </w:rPr>
              <w:t>25</w:t>
            </w:r>
            <w:r>
              <w:rPr>
                <w:sz w:val="21"/>
              </w:rPr>
              <w:t>家零售市场需完成不少于</w:t>
            </w:r>
            <w:r>
              <w:rPr>
                <w:sz w:val="21"/>
              </w:rPr>
              <w:t>14100</w:t>
            </w:r>
            <w:r>
              <w:rPr>
                <w:sz w:val="21"/>
              </w:rPr>
              <w:t>批次，每月</w:t>
            </w:r>
            <w:r>
              <w:rPr>
                <w:sz w:val="21"/>
              </w:rPr>
              <w:t>不少于</w:t>
            </w:r>
            <w:r>
              <w:rPr>
                <w:sz w:val="21"/>
              </w:rPr>
              <w:t>1200</w:t>
            </w:r>
            <w:r>
              <w:rPr>
                <w:sz w:val="21"/>
              </w:rPr>
              <w:t>批次（剩下的</w:t>
            </w:r>
            <w:r>
              <w:rPr>
                <w:sz w:val="21"/>
              </w:rPr>
              <w:t>900</w:t>
            </w:r>
            <w:r>
              <w:rPr>
                <w:sz w:val="21"/>
              </w:rPr>
              <w:t>批次需为蔬菜，可自由调整），每月需覆盖</w:t>
            </w:r>
            <w:r>
              <w:rPr>
                <w:sz w:val="21"/>
              </w:rPr>
              <w:t>25</w:t>
            </w:r>
            <w:r>
              <w:rPr>
                <w:sz w:val="21"/>
              </w:rPr>
              <w:t>家零售市场。大型超市需完成不少于</w:t>
            </w:r>
            <w:r>
              <w:rPr>
                <w:sz w:val="21"/>
              </w:rPr>
              <w:t>2475</w:t>
            </w:r>
            <w:r>
              <w:rPr>
                <w:sz w:val="21"/>
              </w:rPr>
              <w:t>批次，每月</w:t>
            </w:r>
            <w:r>
              <w:rPr>
                <w:sz w:val="21"/>
              </w:rPr>
              <w:t>不少于</w:t>
            </w:r>
            <w:r>
              <w:rPr>
                <w:sz w:val="21"/>
              </w:rPr>
              <w:t>225</w:t>
            </w:r>
            <w:r>
              <w:rPr>
                <w:sz w:val="21"/>
              </w:rPr>
              <w:t>批次。学校食堂需完成不少于</w:t>
            </w:r>
            <w:r>
              <w:rPr>
                <w:sz w:val="21"/>
              </w:rPr>
              <w:t>2475</w:t>
            </w:r>
            <w:r>
              <w:rPr>
                <w:sz w:val="21"/>
              </w:rPr>
              <w:t>批次，每月</w:t>
            </w:r>
            <w:r>
              <w:rPr>
                <w:sz w:val="21"/>
              </w:rPr>
              <w:t>不少于</w:t>
            </w:r>
            <w:r>
              <w:rPr>
                <w:sz w:val="21"/>
              </w:rPr>
              <w:t>225</w:t>
            </w:r>
            <w:r>
              <w:rPr>
                <w:sz w:val="21"/>
              </w:rPr>
              <w:t>批次。大型餐饮服务单位需完成不少于</w:t>
            </w:r>
            <w:r>
              <w:rPr>
                <w:sz w:val="21"/>
              </w:rPr>
              <w:t>2475</w:t>
            </w:r>
            <w:r>
              <w:rPr>
                <w:sz w:val="21"/>
              </w:rPr>
              <w:t>批次，每月</w:t>
            </w:r>
            <w:r>
              <w:rPr>
                <w:sz w:val="21"/>
              </w:rPr>
              <w:t>不少于</w:t>
            </w:r>
            <w:r>
              <w:rPr>
                <w:sz w:val="21"/>
              </w:rPr>
              <w:t>225</w:t>
            </w:r>
            <w:r>
              <w:rPr>
                <w:sz w:val="21"/>
              </w:rPr>
              <w:t>批次。连锁食用农产品销售企业需完成不少于</w:t>
            </w:r>
            <w:r>
              <w:rPr>
                <w:sz w:val="21"/>
              </w:rPr>
              <w:t>2475</w:t>
            </w:r>
            <w:r>
              <w:rPr>
                <w:sz w:val="21"/>
              </w:rPr>
              <w:t>批次，每月</w:t>
            </w:r>
            <w:r>
              <w:rPr>
                <w:sz w:val="21"/>
              </w:rPr>
              <w:t>不少于</w:t>
            </w:r>
            <w:r>
              <w:rPr>
                <w:sz w:val="21"/>
              </w:rPr>
              <w:t>225</w:t>
            </w:r>
            <w:r>
              <w:rPr>
                <w:sz w:val="21"/>
              </w:rPr>
              <w:t>批次。以上五种检测地点每月检测批次原则上均需满足蔬菜类：水产品：禽畜肉蛋类</w:t>
            </w:r>
            <w:r>
              <w:rPr>
                <w:sz w:val="21"/>
              </w:rPr>
              <w:t>=25:4:1</w:t>
            </w:r>
            <w:r>
              <w:rPr>
                <w:sz w:val="21"/>
              </w:rPr>
              <w:t>，其中蔬菜胶体金占比不低于</w:t>
            </w:r>
            <w:r>
              <w:rPr>
                <w:sz w:val="21"/>
              </w:rPr>
              <w:t>50%</w:t>
            </w:r>
            <w:r>
              <w:rPr>
                <w:sz w:val="21"/>
              </w:rPr>
              <w:t>。对农贸市场开展抽检时，当天开展抽检的每个市场要覆盖蔬菜档不少于</w:t>
            </w:r>
            <w:r>
              <w:rPr>
                <w:sz w:val="21"/>
              </w:rPr>
              <w:t>4</w:t>
            </w:r>
            <w:r>
              <w:rPr>
                <w:sz w:val="21"/>
              </w:rPr>
              <w:t>档，水产档不少于</w:t>
            </w:r>
            <w:r>
              <w:rPr>
                <w:sz w:val="21"/>
              </w:rPr>
              <w:t>2</w:t>
            </w:r>
            <w:r>
              <w:rPr>
                <w:sz w:val="21"/>
              </w:rPr>
              <w:t>档。市场周边有生鲜店时，应当同时对生鲜店销售的食用农产品进行抽检。每周开展快检不少于</w:t>
            </w:r>
            <w:r>
              <w:rPr>
                <w:sz w:val="21"/>
              </w:rPr>
              <w:t>5</w:t>
            </w:r>
            <w:r>
              <w:rPr>
                <w:sz w:val="21"/>
              </w:rPr>
              <w:t>天</w:t>
            </w:r>
            <w:r>
              <w:rPr>
                <w:sz w:val="21"/>
              </w:rPr>
              <w:t>。</w:t>
            </w:r>
          </w:p>
        </w:tc>
        <w:tc>
          <w:tcPr>
            <w:tcW w:type="dxa" w:w="2055"/>
            <w:vMerge w:val="restart"/>
            <w:tcBorders>
              <w:top w:val="none" w:color="000000" w:sz="4"/>
              <w:left w:val="none" w:color="000000" w:sz="4"/>
              <w:bottom w:val="none" w:color="000000" w:sz="4"/>
              <w:right w:val="single" w:color="000000" w:sz="4"/>
            </w:tcBorders>
            <w:shd w:fill="FFFFFF"/>
            <w:vAlign w:val="top"/>
          </w:tcPr>
          <w:p>
            <w:pPr>
              <w:jc w:val="both"/>
            </w:pPr>
            <w:r>
              <w:rPr>
                <w:sz w:val="21"/>
              </w:rPr>
              <w:t>25</w:t>
            </w:r>
            <w:r>
              <w:rPr>
                <w:sz w:val="21"/>
              </w:rPr>
              <w:t>家零售市场原则上是每个镇街</w:t>
            </w:r>
            <w:r>
              <w:rPr>
                <w:sz w:val="21"/>
              </w:rPr>
              <w:t>5</w:t>
            </w:r>
            <w:r>
              <w:rPr>
                <w:sz w:val="21"/>
              </w:rPr>
              <w:t>家，可根据实际情况调整。此项目履行时间：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513"/>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none" w:color="000000" w:sz="4"/>
              <w:right w:val="single" w:color="000000" w:sz="4"/>
            </w:tcBorders>
          </w:tcPr>
          <w:p/>
        </w:tc>
        <w:tc>
          <w:tcPr>
            <w:tcW w:type="dxa" w:w="789"/>
            <w:tcBorders>
              <w:top w:val="single" w:color="000000" w:sz="4"/>
              <w:left w:val="none" w:color="000000" w:sz="4"/>
              <w:bottom w:val="single" w:color="000000" w:sz="4"/>
              <w:right w:val="single" w:color="000000" w:sz="4"/>
            </w:tcBorders>
            <w:shd w:fill="FFFFFF"/>
            <w:vAlign w:val="top"/>
          </w:tcPr>
          <w:p>
            <w:pPr>
              <w:jc w:val="center"/>
            </w:pPr>
            <w:r>
              <w:rPr>
                <w:sz w:val="21"/>
              </w:rPr>
              <w:t>水产品</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3307</w:t>
            </w:r>
          </w:p>
        </w:tc>
      </w:tr>
      <w:tr>
        <w:tc>
          <w:tcPr>
            <w:tcW w:type="dxa" w:w="513"/>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none" w:color="000000" w:sz="4"/>
              <w:right w:val="single" w:color="000000" w:sz="4"/>
            </w:tcBorders>
          </w:tcPr>
          <w:p/>
        </w:tc>
        <w:tc>
          <w:tcPr>
            <w:tcW w:type="dxa" w:w="789"/>
            <w:tcBorders>
              <w:top w:val="none" w:color="000000" w:sz="4"/>
              <w:left w:val="none" w:color="000000" w:sz="4"/>
              <w:bottom w:val="single" w:color="000000" w:sz="4"/>
              <w:right w:val="single" w:color="000000" w:sz="4"/>
            </w:tcBorders>
            <w:shd w:fill="FFFFFF"/>
            <w:vAlign w:val="top"/>
          </w:tcPr>
          <w:p>
            <w:pPr>
              <w:jc w:val="center"/>
            </w:pPr>
            <w:r>
              <w:rPr>
                <w:sz w:val="21"/>
              </w:rPr>
              <w:t>禽畜肉蛋类</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826</w:t>
            </w:r>
          </w:p>
        </w:tc>
      </w:tr>
      <w:tr>
        <w:tc>
          <w:tcPr>
            <w:tcW w:type="dxa" w:w="513"/>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03"/>
            <w:tcBorders>
              <w:top w:val="none" w:color="000000" w:sz="4"/>
              <w:left w:val="none" w:color="000000" w:sz="4"/>
              <w:bottom w:val="single" w:color="000000" w:sz="4"/>
              <w:right w:val="single" w:color="000000" w:sz="4"/>
            </w:tcBorders>
            <w:shd w:fill="FFFFFF"/>
            <w:vAlign w:val="top"/>
          </w:tcPr>
          <w:p>
            <w:pPr>
              <w:jc w:val="center"/>
            </w:pPr>
            <w:r>
              <w:rPr>
                <w:sz w:val="21"/>
              </w:rPr>
              <w:t>餐饮保障</w:t>
            </w:r>
          </w:p>
        </w:tc>
        <w:tc>
          <w:tcPr>
            <w:tcW w:type="dxa" w:w="789"/>
            <w:tcBorders>
              <w:top w:val="none" w:color="000000" w:sz="4"/>
              <w:left w:val="none" w:color="000000" w:sz="4"/>
              <w:bottom w:val="single" w:color="000000" w:sz="4"/>
              <w:right w:val="single" w:color="000000" w:sz="4"/>
            </w:tcBorders>
            <w:shd w:fill="FFFFFF"/>
            <w:vAlign w:val="top"/>
          </w:tcPr>
          <w:p>
            <w:pPr>
              <w:jc w:val="center"/>
            </w:pPr>
            <w:r>
              <w:rPr>
                <w:sz w:val="21"/>
              </w:rPr>
              <w:t>根据现场情况开展快检</w:t>
            </w:r>
          </w:p>
        </w:tc>
        <w:tc>
          <w:tcPr>
            <w:tcW w:type="dxa" w:w="703"/>
            <w:tcBorders>
              <w:top w:val="none" w:color="000000" w:sz="4"/>
              <w:left w:val="none" w:color="000000" w:sz="4"/>
              <w:bottom w:val="single" w:color="000000" w:sz="4"/>
              <w:right w:val="single" w:color="000000" w:sz="4"/>
            </w:tcBorders>
            <w:shd w:fill="FFFFFF"/>
            <w:vAlign w:val="top"/>
          </w:tcPr>
          <w:p>
            <w:pPr>
              <w:jc w:val="center"/>
            </w:pPr>
            <w:r>
              <w:rPr>
                <w:sz w:val="21"/>
              </w:rPr>
              <w:t>1200</w:t>
            </w:r>
          </w:p>
        </w:tc>
        <w:tc>
          <w:tcPr>
            <w:tcW w:type="dxa" w:w="3140"/>
            <w:tcBorders>
              <w:top w:val="none" w:color="000000" w:sz="4"/>
              <w:left w:val="none" w:color="000000" w:sz="4"/>
              <w:bottom w:val="single" w:color="000000" w:sz="4"/>
              <w:right w:val="single" w:color="000000" w:sz="4"/>
            </w:tcBorders>
            <w:shd w:fill="FFFFFF"/>
            <w:vAlign w:val="top"/>
          </w:tcPr>
          <w:p>
            <w:pPr>
              <w:jc w:val="both"/>
            </w:pPr>
            <w:r>
              <w:rPr>
                <w:sz w:val="21"/>
              </w:rPr>
              <w:t>服务期内预计开展不少于</w:t>
            </w:r>
            <w:r>
              <w:rPr>
                <w:sz w:val="21"/>
              </w:rPr>
              <w:t>24</w:t>
            </w:r>
            <w:r>
              <w:rPr>
                <w:sz w:val="21"/>
              </w:rPr>
              <w:t>次重大活动或参照重大活动相关要求的活动的餐饮服务食品安全保障任务。预计快速检测食品及原料不少于</w:t>
            </w:r>
            <w:r>
              <w:rPr>
                <w:sz w:val="21"/>
              </w:rPr>
              <w:t>1200</w:t>
            </w:r>
            <w:r>
              <w:rPr>
                <w:sz w:val="21"/>
              </w:rPr>
              <w:t>批次。</w:t>
            </w:r>
          </w:p>
        </w:tc>
        <w:tc>
          <w:tcPr>
            <w:tcW w:type="dxa" w:w="2055"/>
            <w:tcBorders>
              <w:top w:val="none" w:color="000000" w:sz="4"/>
              <w:left w:val="none" w:color="000000" w:sz="4"/>
              <w:bottom w:val="single" w:color="000000" w:sz="4"/>
              <w:right w:val="single" w:color="000000" w:sz="4"/>
            </w:tcBorders>
            <w:shd w:fill="FFFFFF"/>
            <w:vAlign w:val="top"/>
          </w:tcPr>
          <w:p>
            <w:pPr>
              <w:jc w:val="both"/>
            </w:pPr>
            <w:r>
              <w:rPr>
                <w:sz w:val="21"/>
              </w:rPr>
              <w:t>具体餐饮保障活动次数及快检批次数以实际情况为准。此项目履行时间：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2405"/>
            <w:gridSpan w:val="3"/>
            <w:tcBorders>
              <w:top w:val="none" w:color="000000" w:sz="4"/>
              <w:left w:val="single" w:color="000000" w:sz="4"/>
              <w:bottom w:val="single" w:color="000000" w:sz="4"/>
              <w:right w:val="single" w:color="000000" w:sz="4"/>
            </w:tcBorders>
            <w:shd w:fill="FFFFFF"/>
            <w:vAlign w:val="top"/>
          </w:tcPr>
          <w:p>
            <w:pPr>
              <w:jc w:val="center"/>
            </w:pPr>
            <w:r>
              <w:rPr>
                <w:sz w:val="21"/>
              </w:rPr>
              <w:t>合计</w:t>
            </w:r>
          </w:p>
        </w:tc>
        <w:tc>
          <w:tcPr>
            <w:tcW w:type="dxa" w:w="5898"/>
            <w:gridSpan w:val="3"/>
            <w:tcBorders>
              <w:top w:val="none" w:color="000000" w:sz="4"/>
              <w:left w:val="none" w:color="000000" w:sz="4"/>
              <w:bottom w:val="single" w:color="000000" w:sz="4"/>
              <w:right w:val="single" w:color="000000" w:sz="4"/>
            </w:tcBorders>
            <w:shd w:fill="FFFFFF"/>
            <w:vAlign w:val="top"/>
          </w:tcPr>
          <w:p>
            <w:pPr>
              <w:jc w:val="center"/>
            </w:pPr>
            <w:r>
              <w:rPr>
                <w:sz w:val="21"/>
              </w:rPr>
              <w:t>105200</w:t>
            </w:r>
            <w:r>
              <w:rPr>
                <w:sz w:val="21"/>
              </w:rPr>
              <w:t>批次</w:t>
            </w:r>
          </w:p>
        </w:tc>
      </w:tr>
    </w:tbl>
    <w:p>
      <w:pPr>
        <w:jc w:val="both"/>
      </w:pPr>
      <w:r>
        <w:rPr>
          <w:sz w:val="21"/>
        </w:rPr>
        <w:t>注：</w:t>
      </w:r>
    </w:p>
    <w:p>
      <w:pPr>
        <w:jc w:val="both"/>
      </w:pPr>
      <w:r>
        <w:rPr>
          <w:sz w:val="21"/>
        </w:rPr>
        <w:t>（</w:t>
      </w:r>
      <w:r>
        <w:rPr>
          <w:sz w:val="21"/>
        </w:rPr>
        <w:t>1</w:t>
      </w:r>
      <w:r>
        <w:rPr>
          <w:sz w:val="21"/>
        </w:rPr>
        <w:t>）每个样品抽样量</w:t>
      </w:r>
      <w:r>
        <w:rPr>
          <w:sz w:val="21"/>
        </w:rPr>
        <w:t>原则上</w:t>
      </w:r>
      <w:r>
        <w:rPr>
          <w:sz w:val="21"/>
        </w:rPr>
        <w:t>不得少于</w:t>
      </w:r>
      <w:r>
        <w:rPr>
          <w:sz w:val="21"/>
        </w:rPr>
        <w:t>5</w:t>
      </w:r>
      <w:r>
        <w:rPr>
          <w:sz w:val="21"/>
        </w:rPr>
        <w:t>0g</w:t>
      </w:r>
      <w:r>
        <w:rPr>
          <w:sz w:val="21"/>
        </w:rPr>
        <w:t>，</w:t>
      </w:r>
      <w:r>
        <w:rPr>
          <w:sz w:val="21"/>
        </w:rPr>
        <w:t>每个水产品样品</w:t>
      </w:r>
      <w:r>
        <w:rPr>
          <w:sz w:val="21"/>
        </w:rPr>
        <w:t>原则上检测</w:t>
      </w:r>
      <w:r>
        <w:rPr>
          <w:sz w:val="21"/>
        </w:rPr>
        <w:t>1</w:t>
      </w:r>
      <w:r>
        <w:rPr>
          <w:sz w:val="21"/>
        </w:rPr>
        <w:t>个项目，最多不超过</w:t>
      </w:r>
      <w:r>
        <w:rPr>
          <w:sz w:val="21"/>
        </w:rPr>
        <w:t>2</w:t>
      </w:r>
      <w:r>
        <w:rPr>
          <w:sz w:val="21"/>
        </w:rPr>
        <w:t>个项目。</w:t>
      </w:r>
    </w:p>
    <w:p>
      <w:pPr>
        <w:jc w:val="both"/>
      </w:pPr>
      <w:r>
        <w:rPr>
          <w:sz w:val="21"/>
        </w:rPr>
        <w:t>（</w:t>
      </w:r>
      <w:r>
        <w:rPr>
          <w:sz w:val="21"/>
        </w:rPr>
        <w:t>2</w:t>
      </w:r>
      <w:r>
        <w:rPr>
          <w:sz w:val="21"/>
        </w:rPr>
        <w:t>）水产品抽检品种应覆盖鱼、虾、贝等重点品种，每周抽检不少于</w:t>
      </w:r>
      <w:r>
        <w:rPr>
          <w:sz w:val="21"/>
        </w:rPr>
        <w:t>1</w:t>
      </w:r>
      <w:r>
        <w:rPr>
          <w:sz w:val="21"/>
        </w:rPr>
        <w:t>天。原则上对当天开展抽检的单位每家抽样量不超过</w:t>
      </w:r>
      <w:r>
        <w:rPr>
          <w:sz w:val="21"/>
        </w:rPr>
        <w:t>5</w:t>
      </w:r>
      <w:r>
        <w:rPr>
          <w:sz w:val="21"/>
        </w:rPr>
        <w:t>个样品。可根据经营项目及当地消费习惯，增加选取销售量大、风险较高的食用农产品品种进行快检。有特殊情况的可以根据实际情况上报甲方后适当调整抽检比例。</w:t>
      </w:r>
    </w:p>
    <w:p>
      <w:pPr>
        <w:jc w:val="both"/>
      </w:pPr>
      <w:r>
        <w:rPr>
          <w:sz w:val="21"/>
        </w:rPr>
        <w:t>（</w:t>
      </w:r>
      <w:r>
        <w:rPr>
          <w:sz w:val="21"/>
        </w:rPr>
        <w:t>3</w:t>
      </w:r>
      <w:r>
        <w:rPr>
          <w:sz w:val="21"/>
        </w:rPr>
        <w:t>）快检品种对应检测项目和重点品种筛查应符合《</w:t>
      </w:r>
      <w:r>
        <w:rPr>
          <w:sz w:val="21"/>
        </w:rPr>
        <w:t>2023</w:t>
      </w:r>
      <w:r>
        <w:rPr>
          <w:sz w:val="21"/>
        </w:rPr>
        <w:t>年农贸市场快检项目适用范围及重点品种》，且重点品种筛查批次所占总批次数比例不少于</w:t>
      </w:r>
      <w:r>
        <w:rPr>
          <w:sz w:val="21"/>
        </w:rPr>
        <w:t>50%</w:t>
      </w:r>
      <w:r>
        <w:rPr>
          <w:sz w:val="21"/>
        </w:rPr>
        <w:t>。（适用范围和重点品种根据广东省市场监督管理局最新文件要求实时进行调整）</w:t>
      </w:r>
    </w:p>
    <w:p>
      <w:pPr>
        <w:jc w:val="both"/>
      </w:pPr>
      <w:r>
        <w:rPr>
          <w:sz w:val="21"/>
        </w:rPr>
        <w:t>（</w:t>
      </w:r>
      <w:r>
        <w:rPr>
          <w:sz w:val="21"/>
        </w:rPr>
        <w:t>4</w:t>
      </w:r>
      <w:r>
        <w:rPr>
          <w:sz w:val="21"/>
        </w:rPr>
        <w:t>）快检检测项目开展情况：①蔬菜农残酶抑制项目必须使用酶抑制率法（分光光度法），②每天蔬菜快检检测项目包括农残酶抑制项目和不少于</w:t>
      </w:r>
      <w:r>
        <w:rPr>
          <w:sz w:val="21"/>
        </w:rPr>
        <w:t>2</w:t>
      </w:r>
      <w:r>
        <w:rPr>
          <w:sz w:val="21"/>
        </w:rPr>
        <w:t>种农残胶体金试纸条法项目，③每月农残胶体金试纸条法覆盖检测项目不少于</w:t>
      </w:r>
      <w:r>
        <w:rPr>
          <w:sz w:val="21"/>
        </w:rPr>
        <w:t>7</w:t>
      </w:r>
      <w:r>
        <w:rPr>
          <w:sz w:val="21"/>
        </w:rPr>
        <w:t>项，原则上全年每种农残胶体金试纸条法检测项目检测批次均衡分布，④每月兽残覆盖检测项目不少于</w:t>
      </w:r>
      <w:r>
        <w:rPr>
          <w:sz w:val="21"/>
        </w:rPr>
        <w:t>4</w:t>
      </w:r>
      <w:r>
        <w:rPr>
          <w:sz w:val="21"/>
        </w:rPr>
        <w:t>项（其中瘦肉精、硝基呋喃类检测项目以一个检测项目计），抽检内脏品种批次不少于瘦肉精快检项目批次的</w:t>
      </w:r>
      <w:r>
        <w:rPr>
          <w:sz w:val="21"/>
        </w:rPr>
        <w:t>50%</w:t>
      </w:r>
      <w:r>
        <w:rPr>
          <w:sz w:val="21"/>
        </w:rPr>
        <w:t>，瘦肉精检测项目需覆盖盐酸克伦特罗、莱克多巴胺、沙丁胺醇项目，检测的快检批次数原则上不少于禽畜肉类快检批次数的</w:t>
      </w:r>
      <w:r>
        <w:rPr>
          <w:sz w:val="21"/>
        </w:rPr>
        <w:t>30%</w:t>
      </w:r>
      <w:r>
        <w:rPr>
          <w:sz w:val="21"/>
        </w:rPr>
        <w:t>，氯霉素、恩诺沙星等项目的快检批次数不少于禽畜肉类快检批次数的</w:t>
      </w:r>
      <w:r>
        <w:rPr>
          <w:sz w:val="21"/>
        </w:rPr>
        <w:t>30%</w:t>
      </w:r>
      <w:r>
        <w:rPr>
          <w:sz w:val="21"/>
        </w:rPr>
        <w:t>。</w:t>
      </w:r>
    </w:p>
    <w:p>
      <w:pPr>
        <w:jc w:val="both"/>
      </w:pPr>
      <w:r>
        <w:rPr>
          <w:b/>
          <w:sz w:val="21"/>
        </w:rPr>
        <w:t>三、</w:t>
      </w:r>
      <w:r>
        <w:rPr>
          <w:b/>
          <w:sz w:val="21"/>
        </w:rPr>
        <w:t>检测试剂采购和使用</w:t>
      </w:r>
    </w:p>
    <w:p>
      <w:pPr>
        <w:jc w:val="both"/>
      </w:pPr>
      <w:r>
        <w:rPr>
          <w:sz w:val="21"/>
        </w:rPr>
        <w:t>（一）所有批次的试剂产品由乙方提供，乙方必须采购和使用质量合格、来源合法的快检试剂产品，留存采购快检试剂合同并做好出入库台账（包括名称、厂家、数量、批号、日期），采购的试剂量与所承接任务相匹配，检测所用快检试剂和出入库记录须相符。</w:t>
      </w:r>
    </w:p>
    <w:p>
      <w:pPr>
        <w:jc w:val="both"/>
      </w:pPr>
      <w:r>
        <w:rPr>
          <w:sz w:val="21"/>
        </w:rPr>
        <w:t>（二）乙方所使用的试剂产品必须经过技术验收，并做好验收记录。试剂产品要严格按试剂盒规定条件进行保存，保证投放的试剂产品质量稳定、可靠。定期清理临期、过期试剂并做好处理记录。快检试剂产品不在保质期内的不得使用。如乙方所采购的快检试剂经技术评价不符合要求，乙方应立即停止使用并更换快检试剂。</w:t>
      </w:r>
    </w:p>
    <w:p>
      <w:pPr>
        <w:jc w:val="both"/>
      </w:pPr>
      <w:r>
        <w:rPr>
          <w:b/>
          <w:sz w:val="21"/>
        </w:rPr>
        <w:t>四、标准物质及试剂耗材</w:t>
      </w:r>
    </w:p>
    <w:p>
      <w:pPr>
        <w:ind w:firstLine="420"/>
        <w:jc w:val="both"/>
      </w:pPr>
      <w:r>
        <w:rPr>
          <w:sz w:val="21"/>
        </w:rPr>
        <w:t>乙方购买标准物质和关键试剂耗材时，应具备厂家提供的有效证明或标准物质证书，并按相关程序进行验收、使用、保管，确保其溯源性。其应有固定的存放地点及设备，并有相应的使用记录。检验室中各种溶液应有明确标识，并注明试剂名称、浓度、配置时间、配置人员、有效期等。鼓励乙方开发更多更为便捷实用的快检设备及方法。</w:t>
      </w:r>
    </w:p>
    <w:p>
      <w:pPr>
        <w:jc w:val="both"/>
      </w:pPr>
      <w:r>
        <w:rPr>
          <w:b/>
          <w:sz w:val="21"/>
        </w:rPr>
        <w:t>五、数据对比分析及问题样品确认服务</w:t>
      </w:r>
    </w:p>
    <w:p>
      <w:pPr>
        <w:jc w:val="both"/>
      </w:pPr>
      <w:r>
        <w:rPr>
          <w:sz w:val="21"/>
        </w:rPr>
        <w:t>（一）快检结果验证：项目服务期间，乙方服务期内至少开展</w:t>
      </w:r>
      <w:r>
        <w:rPr>
          <w:sz w:val="21"/>
        </w:rPr>
        <w:t>100</w:t>
      </w:r>
      <w:r>
        <w:rPr>
          <w:sz w:val="21"/>
        </w:rPr>
        <w:t>批次快检结果与实验室定量结果的验证，以确保快检实验室检测数控的准确（验证样品不得全部为快检阴性样品），并及时将相关书面资料提供给属地市场监管所及佛山市顺德区市场监督管理局。</w:t>
      </w:r>
    </w:p>
    <w:p>
      <w:pPr>
        <w:jc w:val="both"/>
      </w:pPr>
      <w:r>
        <w:rPr>
          <w:sz w:val="21"/>
        </w:rPr>
        <w:t>（二）总结分析：乙方需每月对检测结果进行总结分析，查找问题所在，发现系统性或突出安全隐患，为下一阶段重点监测指明方向。每月月初对上月开展快速检测项目进行总结分析并出具分析报告，项目期中和期末时出具项目中期和终期总结报告。</w:t>
      </w:r>
    </w:p>
    <w:p>
      <w:pPr>
        <w:jc w:val="both"/>
      </w:pPr>
      <w:r>
        <w:rPr>
          <w:sz w:val="21"/>
        </w:rPr>
        <w:t>（三）突发应急：乙方需对顺德区突发性的食品安全事件提供应急抽样检验及专家技术支持，并参与顺德区内重大活动餐饮服务食品安全保障工作。预计项目服务期间约</w:t>
      </w:r>
      <w:r>
        <w:rPr>
          <w:sz w:val="21"/>
        </w:rPr>
        <w:t>10</w:t>
      </w:r>
      <w:r>
        <w:rPr>
          <w:sz w:val="21"/>
        </w:rPr>
        <w:t>起突发事件，</w:t>
      </w:r>
      <w:r>
        <w:rPr>
          <w:sz w:val="21"/>
        </w:rPr>
        <w:t>35</w:t>
      </w:r>
      <w:r>
        <w:rPr>
          <w:sz w:val="21"/>
        </w:rPr>
        <w:t>起重大活动餐饮保障任务。</w:t>
      </w:r>
    </w:p>
    <w:p>
      <w:pPr>
        <w:jc w:val="both"/>
      </w:pPr>
      <w:r>
        <w:rPr>
          <w:sz w:val="21"/>
        </w:rPr>
        <w:t>（四）问题样品确认及监督抽检：乙方需对广东省市场监督管理局明确规定快速检测结果呈阳性应启动抽样检验程序的检测项目检出的不合格样品以及被抽样单位有异议提出复检的不合格样品进行法检确认分析，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市场开办者按照双方协议采取降低信用、暂停经营或者清退等处理措施。相关法检报告乙方应及时提供给属地市场监管所依法处理。</w:t>
      </w:r>
    </w:p>
    <w:p>
      <w:pPr>
        <w:jc w:val="both"/>
      </w:pPr>
      <w:r>
        <w:rPr>
          <w:b/>
          <w:sz w:val="21"/>
        </w:rPr>
        <w:t>六、抽样及快检结果公示</w:t>
      </w:r>
    </w:p>
    <w:p>
      <w:pPr>
        <w:jc w:val="both"/>
      </w:pPr>
      <w:r>
        <w:rPr>
          <w:sz w:val="21"/>
        </w:rPr>
        <w:t>（一）原则上全年不间断开展快检工作，每个政府实验室和每台快检车每周开展快检不少于</w:t>
      </w:r>
      <w:r>
        <w:rPr>
          <w:sz w:val="21"/>
        </w:rPr>
        <w:t>5</w:t>
      </w:r>
      <w:r>
        <w:rPr>
          <w:sz w:val="21"/>
        </w:rPr>
        <w:t>天。</w:t>
      </w:r>
    </w:p>
    <w:p>
      <w:pPr>
        <w:jc w:val="both"/>
      </w:pPr>
      <w:r>
        <w:rPr>
          <w:sz w:val="21"/>
        </w:rPr>
        <w:t>（二）抽样记录应完整规范，抽样记录信息包括日期、品种名称、被抽样单位信息（包括名称、联系方式及地址）、产品供货商、抽样人及被抽样人签名等。</w:t>
      </w:r>
    </w:p>
    <w:p>
      <w:pPr>
        <w:jc w:val="both"/>
      </w:pPr>
      <w:r>
        <w:rPr>
          <w:sz w:val="21"/>
        </w:rPr>
        <w:t>（三）快检检测原始记录须规范且可溯。实验记录要注明日期、样品名称、检测项目、检测结果、所用快检试剂产品批号等，检测数据与设备数据、留档照片、上报数据须一致。</w:t>
      </w:r>
    </w:p>
    <w:p>
      <w:pPr>
        <w:jc w:val="both"/>
      </w:pPr>
      <w:r>
        <w:rPr>
          <w:sz w:val="21"/>
        </w:rPr>
        <w:t>（四）及时公示快检信息。原则上应在每天上午</w:t>
      </w:r>
      <w:r>
        <w:rPr>
          <w:sz w:val="21"/>
        </w:rPr>
        <w:t>10:00</w:t>
      </w:r>
      <w:r>
        <w:rPr>
          <w:sz w:val="21"/>
        </w:rPr>
        <w:t>前完成快检，并将快检结果送达经营者。在其经营场所主要出入口的显著位置通过张贴或电子屏幕等方式及时公示当天食用农产品快检结果，包括样品名称、被抽样单位名称及地址、检验项目、检验结果、不合格产品处理情况等，引导群众消费，督促经营者自觉把好食用农产品质量安全关。公示内容与检测结果要一致，并做好公示结果照片记录。</w:t>
      </w:r>
    </w:p>
    <w:p>
      <w:pPr>
        <w:jc w:val="both"/>
      </w:pPr>
      <w:r>
        <w:rPr>
          <w:sz w:val="21"/>
        </w:rPr>
        <w:t>（五）批发市场内发现无进货凭证和无承诺达标合格证或者其他质量合格凭证（市场开办者已落实入场查验快检合格除外）</w:t>
      </w:r>
      <w:r>
        <w:rPr>
          <w:sz w:val="21"/>
        </w:rPr>
        <w:t>的</w:t>
      </w:r>
      <w:r>
        <w:rPr>
          <w:sz w:val="21"/>
        </w:rPr>
        <w:t>产品，快检人员应当立即报告所在地市场监管部门责令市场开办者依法处理，不得开展快检。</w:t>
      </w:r>
    </w:p>
    <w:p>
      <w:pPr>
        <w:jc w:val="both"/>
      </w:pPr>
      <w:r>
        <w:rPr>
          <w:b/>
          <w:sz w:val="21"/>
        </w:rPr>
        <w:t>七、问题发现及处理</w:t>
      </w:r>
    </w:p>
    <w:p>
      <w:pPr>
        <w:jc w:val="both"/>
      </w:pPr>
      <w:r>
        <w:rPr>
          <w:sz w:val="21"/>
        </w:rPr>
        <w:t>（一）本项目共计快速检测食用农产品</w:t>
      </w:r>
      <w:r>
        <w:rPr>
          <w:sz w:val="21"/>
        </w:rPr>
        <w:t>105200</w:t>
      </w:r>
      <w:r>
        <w:rPr>
          <w:sz w:val="21"/>
        </w:rPr>
        <w:t>批次，项目服务期间快检阳性发现率不得低于</w:t>
      </w:r>
      <w:r>
        <w:rPr>
          <w:sz w:val="21"/>
        </w:rPr>
        <w:t>1.5%</w:t>
      </w:r>
      <w:r>
        <w:rPr>
          <w:sz w:val="21"/>
        </w:rPr>
        <w:t>。</w:t>
      </w:r>
    </w:p>
    <w:p>
      <w:pPr>
        <w:jc w:val="both"/>
      </w:pPr>
      <w:r>
        <w:rPr>
          <w:sz w:val="21"/>
        </w:rPr>
        <w:t>（二）乙方应于每月初</w:t>
      </w:r>
      <w:r>
        <w:rPr>
          <w:sz w:val="21"/>
        </w:rPr>
        <w:t>3</w:t>
      </w:r>
      <w:r>
        <w:rPr>
          <w:sz w:val="21"/>
        </w:rPr>
        <w:t>个工作日内提交抽检计划给甲方，每月月底对当月开展快速检测项目进行总结分析并于下月初</w:t>
      </w:r>
      <w:r>
        <w:rPr>
          <w:sz w:val="21"/>
        </w:rPr>
        <w:t>5</w:t>
      </w:r>
      <w:r>
        <w:rPr>
          <w:sz w:val="21"/>
        </w:rPr>
        <w:t>个工作日内出具上月分析报告。分析报告包含当月发现的问题样品检测情况，并针对当季当地特点对后续检测样本的采集、检测方法提出建议，对潜在高风险品种进行重点抽检，确保食品安全检测工作有的放矢。</w:t>
      </w:r>
    </w:p>
    <w:p>
      <w:pPr>
        <w:jc w:val="both"/>
      </w:pPr>
      <w:r>
        <w:rPr>
          <w:sz w:val="21"/>
        </w:rPr>
        <w:t>（三）乙方要对检测人员的检测工作量、规范性、合格率进行汇总分析，定期开展交叉比对，并建立相关的考核制度。</w:t>
      </w:r>
    </w:p>
    <w:p>
      <w:pPr>
        <w:jc w:val="both"/>
      </w:pPr>
      <w:r>
        <w:rPr>
          <w:b/>
          <w:sz w:val="21"/>
        </w:rPr>
        <w:t>八、抽样数据服务</w:t>
      </w:r>
    </w:p>
    <w:p>
      <w:pPr>
        <w:jc w:val="both"/>
      </w:pPr>
      <w:r>
        <w:rPr>
          <w:sz w:val="21"/>
        </w:rPr>
        <w:t>（一）加强抽样信息管理，检测平台对接顺德区企业法人库和许可库。</w:t>
      </w:r>
    </w:p>
    <w:p>
      <w:pPr>
        <w:jc w:val="both"/>
      </w:pPr>
      <w:r>
        <w:rPr>
          <w:sz w:val="21"/>
        </w:rPr>
        <w:t>（二）完善抽样过程填报信息，包括被抽样单位（与企业法人库、许可库信息一致）的名称、联系方式及地址、许可证号、抽样时间、抽样人员、抽样产品名称、类别、原产地信息等。</w:t>
      </w:r>
    </w:p>
    <w:p>
      <w:pPr>
        <w:jc w:val="both"/>
      </w:pPr>
      <w:r>
        <w:rPr>
          <w:b/>
          <w:sz w:val="21"/>
        </w:rPr>
        <w:t>九、其他技术要求</w:t>
      </w:r>
    </w:p>
    <w:p>
      <w:pPr>
        <w:jc w:val="both"/>
      </w:pPr>
      <w:r>
        <w:rPr>
          <w:sz w:val="21"/>
        </w:rPr>
        <w:t>（一）移动检测车保障能力</w:t>
      </w:r>
    </w:p>
    <w:p>
      <w:pPr>
        <w:ind w:firstLine="420"/>
        <w:jc w:val="both"/>
      </w:pPr>
      <w:r>
        <w:rPr>
          <w:sz w:val="21"/>
        </w:rPr>
        <w:t>服务期内，甲方可向乙方提供</w:t>
      </w:r>
      <w:r>
        <w:rPr>
          <w:sz w:val="21"/>
        </w:rPr>
        <w:t>2</w:t>
      </w:r>
      <w:r>
        <w:rPr>
          <w:sz w:val="21"/>
        </w:rPr>
        <w:t>台移动检测车用于完成本项目任务，为保证项目的正常运行，乙方应根据任务需要适当增加移动检测车的数量配置，强化移动检测车的保障能力。项目服务期间车辆的养路费、保险费、燃油费、保养维修费，所有检测设备设施的计量检定费、维修保养费、清洁费，检测废水废物处理费等由乙方全部承担。</w:t>
      </w:r>
    </w:p>
    <w:p>
      <w:pPr>
        <w:ind w:firstLine="420"/>
        <w:jc w:val="both"/>
      </w:pPr>
      <w:r>
        <w:rPr>
          <w:sz w:val="21"/>
        </w:rPr>
        <w:t>投入本项目移动检测车的基本要求（包括但不限于）：移动检测车长度不小于</w:t>
      </w:r>
      <w:r>
        <w:rPr>
          <w:sz w:val="21"/>
        </w:rPr>
        <w:t>4.8</w:t>
      </w:r>
      <w:r>
        <w:rPr>
          <w:sz w:val="21"/>
        </w:rPr>
        <w:t>米，改装后保留</w:t>
      </w:r>
      <w:r>
        <w:rPr>
          <w:sz w:val="21"/>
        </w:rPr>
        <w:t>4</w:t>
      </w:r>
      <w:r>
        <w:rPr>
          <w:sz w:val="21"/>
        </w:rPr>
        <w:t>个乘员座，后部检测设备均为便携结构，放置在车后部，平时巡回穿梭在抽检现场，部分设备可以在现场采用小型仪器检测提取快速检测结果。改装后具有以下特点：</w:t>
      </w:r>
    </w:p>
    <w:p>
      <w:pPr>
        <w:jc w:val="both"/>
      </w:pPr>
      <w:r>
        <w:rPr>
          <w:sz w:val="21"/>
        </w:rPr>
        <w:t>1</w:t>
      </w:r>
      <w:r>
        <w:rPr>
          <w:sz w:val="21"/>
        </w:rPr>
        <w:t>、具有流动实验室功能，能完成多项常规食品理化检测；</w:t>
      </w:r>
    </w:p>
    <w:p>
      <w:pPr>
        <w:jc w:val="both"/>
      </w:pPr>
      <w:r>
        <w:rPr>
          <w:sz w:val="21"/>
        </w:rPr>
        <w:t>2</w:t>
      </w:r>
      <w:r>
        <w:rPr>
          <w:sz w:val="21"/>
        </w:rPr>
        <w:t>、安装便携式食品安全快速检测箱，提高食品快速检测的质量；</w:t>
      </w:r>
    </w:p>
    <w:p>
      <w:pPr>
        <w:jc w:val="both"/>
      </w:pPr>
      <w:r>
        <w:rPr>
          <w:sz w:val="21"/>
        </w:rPr>
        <w:t>3</w:t>
      </w:r>
      <w:r>
        <w:rPr>
          <w:sz w:val="21"/>
        </w:rPr>
        <w:t>、优异的机动能力，能够适应绝大多数的道路状况；</w:t>
      </w:r>
    </w:p>
    <w:p>
      <w:pPr>
        <w:jc w:val="both"/>
      </w:pPr>
      <w:r>
        <w:rPr>
          <w:sz w:val="21"/>
        </w:rPr>
        <w:t>4</w:t>
      </w:r>
      <w:r>
        <w:rPr>
          <w:sz w:val="21"/>
        </w:rPr>
        <w:t>、具有监控、通讯传输功能，可进行现场取证、笔录、实时监控和远程传输；</w:t>
      </w:r>
    </w:p>
    <w:p>
      <w:pPr>
        <w:jc w:val="both"/>
      </w:pPr>
      <w:r>
        <w:rPr>
          <w:sz w:val="21"/>
        </w:rPr>
        <w:t>5</w:t>
      </w:r>
      <w:r>
        <w:rPr>
          <w:sz w:val="21"/>
        </w:rPr>
        <w:t>、车载设备布局在后座，含电源和检测设备，保留前</w:t>
      </w:r>
      <w:r>
        <w:rPr>
          <w:sz w:val="21"/>
        </w:rPr>
        <w:t>2</w:t>
      </w:r>
      <w:r>
        <w:rPr>
          <w:sz w:val="21"/>
        </w:rPr>
        <w:t>排座椅，</w:t>
      </w:r>
      <w:r>
        <w:rPr>
          <w:sz w:val="21"/>
        </w:rPr>
        <w:t>4</w:t>
      </w:r>
      <w:r>
        <w:rPr>
          <w:sz w:val="21"/>
        </w:rPr>
        <w:t>人，其他位置可以布局设备，定制便携组合仪器箱，平时把这些检测仪器放进箱子内，可以安放多个小型仪器，箱子自带可以开启和关闭的操作平台，箱子固定在车内后，可打开后可以变成仪器操作台面；要求不锈钢或铝合金包边，防水轻便材料制作，箱子可以手提和地面滑动</w:t>
      </w:r>
      <w:r>
        <w:rPr>
          <w:sz w:val="21"/>
        </w:rPr>
        <w:t>;</w:t>
      </w:r>
      <w:r>
        <w:rPr>
          <w:sz w:val="21"/>
        </w:rPr>
        <w:t>内部仪器必须有良好避震；</w:t>
      </w:r>
    </w:p>
    <w:p>
      <w:pPr>
        <w:jc w:val="both"/>
      </w:pPr>
      <w:r>
        <w:rPr>
          <w:sz w:val="21"/>
        </w:rPr>
        <w:t>6</w:t>
      </w:r>
      <w:r>
        <w:rPr>
          <w:sz w:val="21"/>
        </w:rPr>
        <w:t>、电源系统，考虑便携储能系统作为主用电源，整车可以采用市电、储能系统</w:t>
      </w:r>
      <w:r>
        <w:rPr>
          <w:sz w:val="21"/>
        </w:rPr>
        <w:t>2</w:t>
      </w:r>
      <w:r>
        <w:rPr>
          <w:sz w:val="21"/>
        </w:rPr>
        <w:t>路电源保障该车的作业用电；安装车载综合电源输出插座板，内含有漏电保护、过载保护等功能，配套多路插座等，确保各路电源安全使用；</w:t>
      </w:r>
    </w:p>
    <w:p>
      <w:pPr>
        <w:jc w:val="both"/>
      </w:pPr>
      <w:r>
        <w:rPr>
          <w:sz w:val="21"/>
        </w:rPr>
        <w:t>7</w:t>
      </w:r>
      <w:r>
        <w:rPr>
          <w:sz w:val="21"/>
        </w:rPr>
        <w:t>、为确保承载仪器箱子的位置不变形，地板需要在原来的基础加装反方复合防水汽车地板再铺铝合金花纹板，要求该板活动可以拆卸，确保车内设备布局合理，重心分布合理；</w:t>
      </w:r>
    </w:p>
    <w:p>
      <w:pPr>
        <w:jc w:val="both"/>
      </w:pPr>
      <w:r>
        <w:rPr>
          <w:sz w:val="21"/>
        </w:rPr>
        <w:t>（二）每台快检车需配备的设备（包括检测仪器、辅助器具、冷藏冷冻设备、前处理设备、办公设备等）数量和质量性能应满足检测工作任务的需要。</w:t>
      </w:r>
    </w:p>
    <w:p>
      <w:pPr>
        <w:jc w:val="both"/>
      </w:pPr>
      <w:r>
        <w:rPr>
          <w:sz w:val="21"/>
        </w:rPr>
        <w:t>（三）每台移动检测车（快检车）需配置至少</w:t>
      </w:r>
      <w:r>
        <w:rPr>
          <w:sz w:val="21"/>
        </w:rPr>
        <w:t>2</w:t>
      </w:r>
      <w:r>
        <w:rPr>
          <w:sz w:val="21"/>
        </w:rPr>
        <w:t>名检测人员。所有检测人员需经过培训并考核合格，持证上岗。乙方应加强对快检车日常食用农产品快检工作的监管及考核。定期针对采购和使用试剂产品的出入库台账记录、每月快检任务完成情况、快检操作流程、抽样和结果原始记录、检测结果上报及公示等进行督查和考核，确保快检工作质量。</w:t>
      </w:r>
    </w:p>
    <w:p>
      <w:pPr>
        <w:jc w:val="both"/>
      </w:pPr>
      <w:r>
        <w:rPr>
          <w:sz w:val="21"/>
        </w:rPr>
        <w:t>（四）项目履行期间，广东省市场监督管理局、佛山市市场监督管理局快检文件规定有更新的，乙方应按广东省市场监督管理局、佛山市市场监督管理局最新要求执行。</w:t>
      </w:r>
    </w:p>
    <w:p>
      <w:pPr>
        <w:jc w:val="both"/>
      </w:pPr>
      <w:r>
        <w:rPr>
          <w:sz w:val="21"/>
        </w:rPr>
        <w:t>（五）平台的情况反馈：快检平台出现问题时及时反馈给甲方。</w:t>
      </w:r>
    </w:p>
    <w:p>
      <w:pPr>
        <w:jc w:val="both"/>
      </w:pPr>
      <w:r>
        <w:rPr>
          <w:sz w:val="21"/>
        </w:rPr>
        <w:t>（六）其他根据工作提出的服务技术要求：如食品安全宣传活动中的咨询、检测、宣讲等服务；新闻发布、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p>
      <w:pPr>
        <w:jc w:val="both"/>
      </w:pPr>
      <w:r>
        <w:rPr>
          <w:b/>
          <w:sz w:val="21"/>
        </w:rPr>
        <w:t>十、组织管理</w:t>
      </w:r>
    </w:p>
    <w:p>
      <w:pPr>
        <w:jc w:val="both"/>
      </w:pPr>
      <w:r>
        <w:rPr>
          <w:sz w:val="21"/>
        </w:rPr>
        <w:t>（一）快检实验室应有明确的组织架构和管理结构，其职能是通过检测及快速筛查手段，对流通环节食用农产品的质量安全进行监督。应具有必要的场地、人员、设施设备等条件，以保障检测工作的正常运行。制定相应的管理体系，包括其检验室职能、岗位职责、年度及月度抽样检测计划等。工作制度和检测质量控制制度，包括仪器管理制度、标准物质及试剂耗材管理制度、抽样程序、检测流程、检验项目操作程序、检测结果处理流程、检测记录管理制度等。</w:t>
      </w:r>
    </w:p>
    <w:p>
      <w:pPr>
        <w:jc w:val="both"/>
      </w:pPr>
      <w:r>
        <w:rPr>
          <w:sz w:val="21"/>
        </w:rPr>
        <w:t>（二）为确保乙方检测工作的诚信管理、质量稳定、人员安全、生产安全、商业合规等，乙方需尽可能的取得其他综合性的管理体系认证，如：质量管理体系、职业健康安全管理体系、环境管理体系认证证书等认证证书。</w:t>
      </w:r>
    </w:p>
    <w:p>
      <w:pPr>
        <w:jc w:val="both"/>
      </w:pPr>
      <w:r>
        <w:rPr>
          <w:b/>
          <w:sz w:val="21"/>
        </w:rPr>
        <w:t>十一、设施与环境</w:t>
      </w:r>
    </w:p>
    <w:p>
      <w:pPr>
        <w:ind w:firstLine="420"/>
        <w:jc w:val="both"/>
      </w:pPr>
      <w:r>
        <w:rPr>
          <w:sz w:val="21"/>
        </w:rPr>
        <w:t>乙方应具备独立的工作场所，并应根据市场销售的可食用农产品种类，配备包括处理、检测、保存、废弃物处理、数据处理、信息传输等设施和设备。检测场所的温湿度应满足检测方法的要求，同时又要防止交叉污染、保证检测员的身体健康。具备水、电、气、照明、通风、通讯、网络及安全应急等基础设施，还应配备防水、防火、防腐蚀、耐热及易清洗等条件的实验台。移动检测车（快检车）车内应保持良好的清洁及整齐度。</w:t>
      </w:r>
    </w:p>
    <w:p>
      <w:pPr>
        <w:jc w:val="both"/>
      </w:pPr>
      <w:r>
        <w:rPr>
          <w:b/>
          <w:sz w:val="21"/>
        </w:rPr>
        <w:t>十二、设施与设备</w:t>
      </w:r>
    </w:p>
    <w:p>
      <w:pPr>
        <w:jc w:val="both"/>
      </w:pPr>
      <w:r>
        <w:rPr>
          <w:sz w:val="21"/>
        </w:rPr>
        <w:t>（一）</w:t>
      </w:r>
      <w:r>
        <w:rPr>
          <w:sz w:val="21"/>
        </w:rPr>
        <w:t>乙方</w:t>
      </w:r>
      <w:r>
        <w:rPr>
          <w:sz w:val="21"/>
        </w:rPr>
        <w:t>应配备对经营农产品安全质量指标进行检测及快速筛查的仪器设备，保存试剂或样品的冷藏冷冻设备，以及必要的辅助器具（水浴锅、离心机、固相萃取装置、氮吹</w:t>
      </w:r>
      <w:r>
        <w:rPr>
          <w:sz w:val="21"/>
        </w:rPr>
        <w:t>/</w:t>
      </w:r>
      <w:r>
        <w:rPr>
          <w:sz w:val="21"/>
        </w:rPr>
        <w:t>空吹仪等）。乙方配备的设备（包括检测仪器、辅助器具、冷藏冷冻设备、前处理设备、办公设备等）数量和质量性能应满足检测工作任务的需要。</w:t>
      </w:r>
    </w:p>
    <w:p>
      <w:pPr>
        <w:jc w:val="both"/>
      </w:pPr>
      <w:r>
        <w:rPr>
          <w:sz w:val="21"/>
        </w:rPr>
        <w:t>（二）为防范市场销售注水生鲜肉等违法违规行为，在项目服务期间，乙方还需为每台快检车分别配备</w:t>
      </w:r>
      <w:r>
        <w:rPr>
          <w:sz w:val="21"/>
        </w:rPr>
        <w:t>1</w:t>
      </w:r>
      <w:r>
        <w:rPr>
          <w:sz w:val="21"/>
        </w:rPr>
        <w:t>台符合相关检测标准要求的肉类水分快速检测仪器。乙方应将检测设备送有相关资质的计量检定校准机构进行校准达到使用标准后，方可使用；仪器维护保养、检定校准，要形成相关记录，建立仪器设备档案。仪器设备还应具有相应的使用记录，如记录仪器的使用者、是否正常、检定校准、维护保养情况等；且检测设备参数设置与所开展项目要求符合。当仪器出现故障或发生异常时，应立即停止使用，直至故障排除并通过检定或校准表明其能正常工作，方可投入使用。</w:t>
      </w:r>
    </w:p>
    <w:p>
      <w:pPr>
        <w:jc w:val="both"/>
      </w:pPr>
      <w:r>
        <w:rPr>
          <w:b/>
          <w:sz w:val="21"/>
        </w:rPr>
        <w:t>十三、技术培训</w:t>
      </w:r>
    </w:p>
    <w:p>
      <w:pPr>
        <w:jc w:val="both"/>
      </w:pPr>
      <w:r>
        <w:rPr>
          <w:sz w:val="21"/>
        </w:rPr>
        <w:t>（一）乙方应对政府快检室和快检车的检测人员及集中交易市场的市场自建实验室的检测人员开展快检培训，确保快检人员熟练掌握快检操作技能，顺利完成快检任务。</w:t>
      </w:r>
    </w:p>
    <w:p>
      <w:pPr>
        <w:jc w:val="both"/>
      </w:pPr>
      <w:r>
        <w:rPr>
          <w:sz w:val="21"/>
        </w:rPr>
        <w:t>（二）建立快检培训和考核档案，经培训考核合格后，发放资格证，持证上岗。其中，对政府快检室和快检车的现有快检人员或新进快检人员应进行不少于</w:t>
      </w:r>
      <w:r>
        <w:rPr>
          <w:sz w:val="21"/>
        </w:rPr>
        <w:t>5</w:t>
      </w:r>
      <w:r>
        <w:rPr>
          <w:sz w:val="21"/>
        </w:rPr>
        <w:t>小时的技术培训；乙方进行技术培训的内容包括但不限于：</w:t>
      </w:r>
    </w:p>
    <w:p>
      <w:pPr>
        <w:jc w:val="both"/>
      </w:pPr>
      <w:r>
        <w:rPr>
          <w:sz w:val="21"/>
        </w:rPr>
        <w:t>1</w:t>
      </w:r>
      <w:r>
        <w:rPr>
          <w:sz w:val="21"/>
        </w:rPr>
        <w:t>、甲方制定相关快检工作文件的培训以及食品安全知识的培训；</w:t>
      </w:r>
    </w:p>
    <w:p>
      <w:pPr>
        <w:jc w:val="both"/>
      </w:pPr>
      <w:r>
        <w:rPr>
          <w:sz w:val="21"/>
        </w:rPr>
        <w:t>2</w:t>
      </w:r>
      <w:r>
        <w:rPr>
          <w:sz w:val="21"/>
        </w:rPr>
        <w:t>、快检设备设施（包括移液器）的使用与维护；</w:t>
      </w:r>
    </w:p>
    <w:p>
      <w:pPr>
        <w:jc w:val="both"/>
      </w:pPr>
      <w:r>
        <w:rPr>
          <w:sz w:val="21"/>
        </w:rPr>
        <w:t>3</w:t>
      </w:r>
      <w:r>
        <w:rPr>
          <w:sz w:val="21"/>
        </w:rPr>
        <w:t>、快检试剂盒说明书内容的培训，包括称样、震荡摇匀、离心、结果判读等操作步骤的培训；</w:t>
      </w:r>
    </w:p>
    <w:p>
      <w:pPr>
        <w:jc w:val="both"/>
      </w:pPr>
      <w:r>
        <w:rPr>
          <w:sz w:val="21"/>
        </w:rPr>
        <w:t>4</w:t>
      </w:r>
      <w:r>
        <w:rPr>
          <w:sz w:val="21"/>
        </w:rPr>
        <w:t>、快检试剂产品的管理、使用等培训；</w:t>
      </w:r>
    </w:p>
    <w:p>
      <w:pPr>
        <w:jc w:val="both"/>
      </w:pPr>
      <w:r>
        <w:rPr>
          <w:sz w:val="21"/>
        </w:rPr>
        <w:t>5</w:t>
      </w:r>
      <w:r>
        <w:rPr>
          <w:sz w:val="21"/>
        </w:rPr>
        <w:t>、快检信息管理系统的使用；</w:t>
      </w:r>
    </w:p>
    <w:p>
      <w:pPr>
        <w:jc w:val="both"/>
      </w:pPr>
      <w:r>
        <w:rPr>
          <w:sz w:val="21"/>
        </w:rPr>
        <w:t>6</w:t>
      </w:r>
      <w:r>
        <w:rPr>
          <w:sz w:val="21"/>
        </w:rPr>
        <w:t>、档案管理和原始数据管理等方面的培训；</w:t>
      </w:r>
    </w:p>
    <w:p>
      <w:pPr>
        <w:jc w:val="both"/>
      </w:pPr>
      <w:r>
        <w:rPr>
          <w:sz w:val="21"/>
        </w:rPr>
        <w:t>7</w:t>
      </w:r>
      <w:r>
        <w:rPr>
          <w:sz w:val="21"/>
        </w:rPr>
        <w:t>、解决快检技术难题的培训。</w:t>
      </w:r>
    </w:p>
    <w:p>
      <w:pPr>
        <w:jc w:val="both"/>
      </w:pPr>
      <w:r>
        <w:rPr>
          <w:b/>
          <w:sz w:val="21"/>
        </w:rPr>
        <w:t>十四、检验工作流程</w:t>
      </w:r>
    </w:p>
    <w:p>
      <w:pPr>
        <w:jc w:val="both"/>
      </w:pPr>
      <w:r>
        <w:rPr>
          <w:sz w:val="21"/>
        </w:rPr>
        <w:t>（一）快检实验室应具备食用农产品快检的检测能力。其检测项目、样品覆盖率及检测频率应与市场销售的品种及数量相适应，并接受当地部门的监督指导。对于出现误差率较高的食用农产品品种和检验项目及时纠正并上报。检测人员应按照规定的抽样程序和相关要求进行抽样，并填写抽样单。确保样品在整个检测过程中有唯一的编号和状态标识，以避免在传递过程中被混淆。检测方法必须现行有效，如出现结果不合格时，应进行复检；结果出现异议时，应送法检进行确认。通过实验室管理系统生成的样本编号及相关样品信息（包括被检单位名称、抽样时间、抽样人员、抽样产品名称、类别、原产地信息、快检阳性报告等）作为复检的依据，法检复检的结果通过样本编号进行对应匹配，以便跟踪。</w:t>
      </w:r>
    </w:p>
    <w:p>
      <w:pPr>
        <w:jc w:val="both"/>
      </w:pPr>
      <w:r>
        <w:rPr>
          <w:sz w:val="21"/>
        </w:rPr>
        <w:t>（二）原始记录应清晰、真实、准确、及时、完整。检测报告应准确、清晰、明确、客观地报告每一项检测结果。检验报告和检测记录的填写和修改应规范，划改规范，修改后的原字迹清晰可辨，并有修改人的签字或盖章。检测人员和审核人员原则上不得为同一人。检测后的样品至少保留</w:t>
      </w:r>
      <w:r>
        <w:rPr>
          <w:sz w:val="21"/>
        </w:rPr>
        <w:t>48</w:t>
      </w:r>
      <w:r>
        <w:rPr>
          <w:sz w:val="21"/>
        </w:rPr>
        <w:t>小时，阳性样品保存至后续处置结束，阳性复检备份样品应按规定条件保存并进行监控和记录。检测报告、原始记录归档，保留两年。</w:t>
      </w:r>
    </w:p>
    <w:p>
      <w:pPr>
        <w:jc w:val="both"/>
      </w:pPr>
      <w:r>
        <w:rPr>
          <w:b/>
          <w:sz w:val="21"/>
        </w:rPr>
        <w:t>十五、监督管理</w:t>
      </w:r>
    </w:p>
    <w:p>
      <w:pPr>
        <w:jc w:val="both"/>
      </w:pPr>
      <w:r>
        <w:rPr>
          <w:sz w:val="21"/>
        </w:rPr>
        <w:t>（一）定期自查自纠</w:t>
      </w:r>
    </w:p>
    <w:p>
      <w:pPr>
        <w:ind w:firstLine="420"/>
        <w:jc w:val="both"/>
      </w:pPr>
      <w:r>
        <w:rPr>
          <w:sz w:val="21"/>
        </w:rPr>
        <w:t>乙方作为项目工作质量的第一责任人，应该认真履行快检质量管理责任，每月针对</w:t>
      </w:r>
      <w:r>
        <w:rPr>
          <w:sz w:val="21"/>
        </w:rPr>
        <w:t>5</w:t>
      </w:r>
      <w:r>
        <w:rPr>
          <w:sz w:val="21"/>
        </w:rPr>
        <w:t>个镇街政府快检实验室（含</w:t>
      </w:r>
      <w:r>
        <w:rPr>
          <w:sz w:val="21"/>
        </w:rPr>
        <w:t>1</w:t>
      </w:r>
      <w:r>
        <w:rPr>
          <w:sz w:val="21"/>
        </w:rPr>
        <w:t>个批发市场驻场检测点）及</w:t>
      </w:r>
      <w:r>
        <w:rPr>
          <w:sz w:val="21"/>
        </w:rPr>
        <w:t>2</w:t>
      </w:r>
      <w:r>
        <w:rPr>
          <w:sz w:val="21"/>
        </w:rPr>
        <w:t>台移动检测车的快检任务完成情况、试剂购买存储与验收情况、抽样品种及覆盖率、不合格产品发现率、快检人员操作熟练程度及规范性、快检抽样和结果原始记录、检测结果上报及公示、实验室管理等认真开展自查自纠，制定并实行内部奖惩制度和措施。于每月</w:t>
      </w:r>
      <w:r>
        <w:rPr>
          <w:sz w:val="21"/>
        </w:rPr>
        <w:t>25</w:t>
      </w:r>
      <w:r>
        <w:rPr>
          <w:sz w:val="21"/>
        </w:rPr>
        <w:t>日前将检查及检查情况总结、原始检查记录表、现场检查图片等报送甲方。</w:t>
      </w:r>
    </w:p>
    <w:p>
      <w:pPr>
        <w:jc w:val="both"/>
      </w:pPr>
      <w:r>
        <w:rPr>
          <w:sz w:val="21"/>
        </w:rPr>
        <w:t>（二）日常监督检查</w:t>
      </w:r>
    </w:p>
    <w:p>
      <w:pPr>
        <w:ind w:firstLine="420"/>
        <w:jc w:val="both"/>
      </w:pPr>
      <w:r>
        <w:rPr>
          <w:sz w:val="21"/>
        </w:rPr>
        <w:t>佛山市顺德区各镇街市场监督管理所负责所在地镇街政府快检室日常运作的监督检查，每月至少对辖区政府快检室开展</w:t>
      </w:r>
      <w:r>
        <w:rPr>
          <w:sz w:val="21"/>
        </w:rPr>
        <w:t>1</w:t>
      </w:r>
      <w:r>
        <w:rPr>
          <w:sz w:val="21"/>
        </w:rPr>
        <w:t>次监督检查工作，并于每月</w:t>
      </w:r>
      <w:r>
        <w:rPr>
          <w:sz w:val="21"/>
        </w:rPr>
        <w:t>28</w:t>
      </w:r>
      <w:r>
        <w:rPr>
          <w:sz w:val="21"/>
        </w:rPr>
        <w:t>日前报送当月监督检查情况。甲方负责对移动检测车的运作情况开展监督检查。甲方及佛山市顺德区各镇街市场监督管理所根据工作两级分工，对照广东省市场监督管理局下发的《农贸市场食用农产品快检工作监督评价表》进行逐一检查，重点检查各政府快检实验室和移动检测车试剂产品采购和使用情况、快检任务完成情况、快检人员培训情况、快检数据原始记录及上传、不合格产品处理、检测结果公示等内容。</w:t>
      </w:r>
    </w:p>
    <w:p>
      <w:pPr>
        <w:jc w:val="both"/>
      </w:pPr>
      <w:r>
        <w:rPr>
          <w:sz w:val="21"/>
        </w:rPr>
        <w:t>（三）飞行检查考核</w:t>
      </w:r>
    </w:p>
    <w:p>
      <w:pPr>
        <w:ind w:firstLine="420"/>
        <w:jc w:val="both"/>
      </w:pPr>
      <w:r>
        <w:rPr>
          <w:sz w:val="21"/>
        </w:rPr>
        <w:t>甲方全年对所有参加快检市场至少检查</w:t>
      </w:r>
      <w:r>
        <w:rPr>
          <w:sz w:val="21"/>
        </w:rPr>
        <w:t>2</w:t>
      </w:r>
      <w:r>
        <w:rPr>
          <w:sz w:val="21"/>
        </w:rPr>
        <w:t>次并形成记录，重点围绕以下几个方面开展：使用的快检试剂是否经过评价且符合要求；快检试剂出入库台账及存储情况（包括名称、厂家、数量、批号、日期等）；快检任务量的完成情况</w:t>
      </w:r>
      <w:r>
        <w:rPr>
          <w:sz w:val="21"/>
        </w:rPr>
        <w:t>(</w:t>
      </w:r>
      <w:r>
        <w:rPr>
          <w:sz w:val="21"/>
        </w:rPr>
        <w:t>总任务量、水产品检测任务量、蔬菜胶体金法检测任务量、重点品种检测任务量等）；快检检测项目开展、快检检测设备及辅助设备的配备、快检抽样和结果原始记录、检测结果上报及公示和快检不合格样品的处理等情况；快检人员资质</w:t>
      </w:r>
      <w:r>
        <w:rPr>
          <w:sz w:val="21"/>
        </w:rPr>
        <w:t>(</w:t>
      </w:r>
      <w:r>
        <w:rPr>
          <w:sz w:val="21"/>
        </w:rPr>
        <w:t>快检人员是否经过培训考核和持证上岗</w:t>
      </w:r>
      <w:r>
        <w:rPr>
          <w:sz w:val="21"/>
        </w:rPr>
        <w:t>)</w:t>
      </w:r>
      <w:r>
        <w:rPr>
          <w:sz w:val="21"/>
        </w:rPr>
        <w:t>、配置情况等。</w:t>
      </w:r>
    </w:p>
    <w:p>
      <w:pPr>
        <w:jc w:val="both"/>
      </w:pPr>
      <w:r>
        <w:rPr>
          <w:sz w:val="21"/>
        </w:rPr>
        <w:t>（四）召开分析会议</w:t>
      </w:r>
    </w:p>
    <w:p>
      <w:pPr>
        <w:ind w:firstLine="420"/>
        <w:jc w:val="both"/>
      </w:pPr>
      <w:r>
        <w:rPr>
          <w:sz w:val="21"/>
        </w:rPr>
        <w:t>根据检查情况，</w:t>
      </w:r>
      <w:r>
        <w:rPr>
          <w:sz w:val="21"/>
        </w:rPr>
        <w:t>乙方</w:t>
      </w:r>
      <w:r>
        <w:rPr>
          <w:sz w:val="21"/>
        </w:rPr>
        <w:t>不定期组织召开快检质量分析会议，针对监督检查发现的问题，分析原因、制定措施、落实整改，进一步规范快检工作，提升快检工作质量和成效。</w:t>
      </w:r>
    </w:p>
    <w:p>
      <w:pPr>
        <w:jc w:val="both"/>
      </w:pPr>
      <w:r>
        <w:rPr>
          <w:b/>
          <w:sz w:val="21"/>
        </w:rPr>
        <w:t>十六、质量控制</w:t>
      </w:r>
    </w:p>
    <w:p>
      <w:pPr>
        <w:ind w:firstLine="420"/>
        <w:jc w:val="both"/>
      </w:pPr>
      <w:r>
        <w:rPr>
          <w:sz w:val="21"/>
        </w:rPr>
        <w:t>质量控制是得到准确快检结果的重要保障。快检实验客观存在一定的质量风险</w:t>
      </w:r>
      <w:r>
        <w:rPr>
          <w:sz w:val="21"/>
        </w:rPr>
        <w:t>，</w:t>
      </w:r>
      <w:r>
        <w:rPr>
          <w:sz w:val="21"/>
        </w:rPr>
        <w:t>某一环节的疏忽有可能导致结果不准确，检测质量无法保证，因此需要采取合适的质量控制手段以及时发现问题</w:t>
      </w:r>
      <w:r>
        <w:rPr>
          <w:sz w:val="21"/>
        </w:rPr>
        <w:t>，</w:t>
      </w:r>
      <w:r>
        <w:rPr>
          <w:sz w:val="21"/>
        </w:rPr>
        <w:t>保证结果的准确性。乙方需有完善的质量控制制度文件并制定相应的质控计划。规范实验室试剂、设备、样品管理，对快检产品进行验收，开展空白样</w:t>
      </w:r>
      <w:r>
        <w:rPr>
          <w:sz w:val="21"/>
        </w:rPr>
        <w:t>/</w:t>
      </w:r>
      <w:r>
        <w:rPr>
          <w:sz w:val="21"/>
        </w:rPr>
        <w:t>加标样的验证；规范原始记录填写；加强人员培训，强化快检人员质量控制意识；规范抽样及检测过程等。</w:t>
      </w:r>
    </w:p>
    <w:p>
      <w:pPr>
        <w:jc w:val="both"/>
      </w:pPr>
      <w:r>
        <w:rPr>
          <w:b/>
          <w:sz w:val="21"/>
        </w:rPr>
        <w:t>十七、应急服务响应</w:t>
      </w:r>
    </w:p>
    <w:p>
      <w:pPr>
        <w:jc w:val="both"/>
      </w:pPr>
      <w:r>
        <w:rPr>
          <w:sz w:val="21"/>
        </w:rPr>
        <w:t>（一）乙方应设置有专人</w:t>
      </w:r>
      <w:r>
        <w:rPr>
          <w:sz w:val="21"/>
        </w:rPr>
        <w:t>24</w:t>
      </w:r>
      <w:r>
        <w:rPr>
          <w:sz w:val="21"/>
        </w:rPr>
        <w:t>小时接听的移动电话热线，用于解决突发应急问题。</w:t>
      </w:r>
    </w:p>
    <w:p>
      <w:pPr>
        <w:jc w:val="both"/>
      </w:pPr>
      <w:r>
        <w:rPr>
          <w:sz w:val="21"/>
        </w:rPr>
        <w:t>（二）乙方必须承诺对突发性的食品安全事件提供应急抽样检验及专家技术支持，乙方具备的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号）中附件《</w:t>
      </w:r>
      <w:r>
        <w:rPr>
          <w:sz w:val="21"/>
        </w:rPr>
        <w:t>2023</w:t>
      </w:r>
      <w:r>
        <w:rPr>
          <w:sz w:val="21"/>
        </w:rPr>
        <w:t>年食品安全监督抽检品种、项目表》及《</w:t>
      </w:r>
      <w:r>
        <w:rPr>
          <w:sz w:val="21"/>
        </w:rPr>
        <w:t>2023</w:t>
      </w:r>
      <w:r>
        <w:rPr>
          <w:sz w:val="21"/>
        </w:rPr>
        <w:t>年食用农产品监督抽检品种、项目表》中的检测项目。</w:t>
      </w:r>
    </w:p>
    <w:p>
      <w:pPr>
        <w:jc w:val="both"/>
      </w:pPr>
      <w:r>
        <w:rPr>
          <w:sz w:val="21"/>
        </w:rPr>
        <w:t>（三）其他根据工作提出的服务技术要求：如食品安全宣传活动中的咨询、检测、宣讲等服务；新闻发布、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p>
      <w:pPr>
        <w:jc w:val="both"/>
      </w:pPr>
      <w:r>
        <w:rPr>
          <w:b/>
          <w:sz w:val="21"/>
        </w:rPr>
        <w:t>十八、服务要求</w:t>
      </w:r>
    </w:p>
    <w:p>
      <w:pPr>
        <w:jc w:val="both"/>
      </w:pPr>
      <w:r>
        <w:rPr>
          <w:sz w:val="21"/>
        </w:rPr>
        <w:t>乙方</w:t>
      </w:r>
      <w:r>
        <w:rPr>
          <w:sz w:val="21"/>
        </w:rPr>
        <w:t>应具备快速检测、食品安全抽检（如：监督抽检、风险监测、评价性抽检、专项抽检等类型）的能力。</w:t>
      </w:r>
    </w:p>
    <w:p>
      <w:pPr>
        <w:jc w:val="both"/>
      </w:pPr>
      <w:r>
        <w:rPr>
          <w:b/>
          <w:sz w:val="21"/>
        </w:rPr>
        <w:t>十九、</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9"/>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14"/>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容</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214"/>
            <w:tcBorders>
              <w:top w:val="none" w:color="000000" w:sz="4"/>
              <w:left w:val="none" w:color="000000" w:sz="4"/>
              <w:bottom w:val="single" w:color="000000" w:sz="4"/>
              <w:right w:val="single" w:color="000000" w:sz="4"/>
            </w:tcBorders>
            <w:vAlign w:val="top"/>
          </w:tcPr>
          <w:p>
            <w:pPr>
              <w:jc w:val="both"/>
            </w:pPr>
            <w:r>
              <w:rPr>
                <w:sz w:val="21"/>
              </w:rPr>
              <w:t>人民币</w:t>
            </w:r>
            <w:r>
              <w:rPr>
                <w:sz w:val="21"/>
              </w:rPr>
              <w:t>小写：</w:t>
            </w:r>
            <w:r>
              <w:rPr>
                <w:sz w:val="21"/>
                <w:u w:val="single"/>
              </w:rPr>
              <w:t xml:space="preserve">             </w:t>
            </w:r>
            <w:r>
              <w:rPr>
                <w:sz w:val="21"/>
              </w:rPr>
              <w:t>元；</w:t>
            </w:r>
          </w:p>
          <w:p>
            <w:pPr>
              <w:jc w:val="both"/>
            </w:pPr>
            <w:r>
              <w:rPr>
                <w:sz w:val="21"/>
              </w:rPr>
              <w:t>大写：</w:t>
            </w:r>
            <w:r>
              <w:rPr>
                <w:sz w:val="21"/>
                <w:u w:val="single"/>
              </w:rPr>
              <w:t xml:space="preserve">                       </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（一）合同总额为本项目广东省佛山市目的地交付价。</w:t>
            </w:r>
          </w:p>
          <w:p>
            <w:pPr>
              <w:jc w:val="both"/>
            </w:pPr>
            <w:r>
              <w:rPr>
                <w:sz w:val="21"/>
              </w:rPr>
              <w:t>（二）合同总额包括采样费用、购样费、检验费、邮寄费、复检费用和复查费用、车辆</w:t>
            </w:r>
            <w:r>
              <w:rPr>
                <w:sz w:val="21"/>
              </w:rPr>
              <w:t>（</w:t>
            </w:r>
            <w:r>
              <w:rPr>
                <w:sz w:val="21"/>
              </w:rPr>
              <w:t>如有</w:t>
            </w:r>
            <w:r>
              <w:rPr>
                <w:sz w:val="21"/>
              </w:rPr>
              <w:t>）</w:t>
            </w:r>
            <w:r>
              <w:rPr>
                <w:sz w:val="21"/>
              </w:rPr>
              <w:t>及相关检验设备购置费、试剂试纸耗</w:t>
            </w:r>
            <w:r>
              <w:rPr>
                <w:sz w:val="21"/>
              </w:rPr>
              <w:t>材</w:t>
            </w:r>
            <w:r>
              <w:rPr>
                <w:sz w:val="21"/>
              </w:rPr>
              <w:t>购买费</w:t>
            </w:r>
            <w:r>
              <w:rPr>
                <w:sz w:val="21"/>
              </w:rPr>
              <w:t>、场地租赁等费用、人工费、</w:t>
            </w:r>
            <w:r>
              <w:rPr>
                <w:sz w:val="21"/>
              </w:rPr>
              <w:t>数据分析费、</w:t>
            </w:r>
            <w:r>
              <w:rPr>
                <w:sz w:val="21"/>
              </w:rPr>
              <w:t>出具报告费用、保险费用、仓储费、快检实验室费用（租赁费、</w:t>
            </w:r>
            <w:r>
              <w:rPr>
                <w:sz w:val="21"/>
              </w:rPr>
              <w:t>辅助器具、冷藏冷冻设备、前处理设备、</w:t>
            </w:r>
            <w:r>
              <w:rPr>
                <w:sz w:val="21"/>
              </w:rPr>
              <w:t>办公室水电费、快检仪器设备费）运输费、商检费用、</w:t>
            </w:r>
            <w:r>
              <w:rPr>
                <w:sz w:val="21"/>
              </w:rPr>
              <w:t>验收费、</w:t>
            </w:r>
            <w:r>
              <w:rPr>
                <w:sz w:val="21"/>
              </w:rPr>
              <w:t>招标代理服务费、税费及不可预见费等完成本采购内容所需的一切费用</w:t>
            </w:r>
            <w:r>
              <w:rPr>
                <w:sz w:val="21"/>
              </w:rPr>
              <w:t>。</w:t>
            </w:r>
          </w:p>
          <w:p>
            <w:pPr>
              <w:jc w:val="both"/>
            </w:pPr>
            <w:r>
              <w:rPr>
                <w:sz w:val="21"/>
              </w:rPr>
              <w:t>（三）在合同执行的过程中，</w:t>
            </w:r>
            <w:r>
              <w:rPr>
                <w:sz w:val="21"/>
              </w:rPr>
              <w:t>甲方</w:t>
            </w:r>
            <w:r>
              <w:rPr>
                <w:sz w:val="21"/>
              </w:rPr>
              <w:t>将不再另行支付与本项目相关的任何费用。</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14"/>
            <w:tcBorders>
              <w:top w:val="none" w:color="000000" w:sz="4"/>
              <w:left w:val="none" w:color="000000" w:sz="4"/>
              <w:bottom w:val="single" w:color="000000" w:sz="4"/>
              <w:right w:val="single" w:color="000000" w:sz="4"/>
            </w:tcBorders>
            <w:vAlign w:val="top"/>
          </w:tcPr>
          <w:p>
            <w:pPr>
              <w:jc w:val="left"/>
            </w:pPr>
            <w:r>
              <w:rPr>
                <w:sz w:val="21"/>
              </w:rPr>
              <w:t>甲方（用户）指定地点。详细地址为：</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214"/>
            <w:tcBorders>
              <w:top w:val="none" w:color="000000" w:sz="4"/>
              <w:left w:val="none" w:color="000000" w:sz="4"/>
              <w:bottom w:val="single" w:color="000000" w:sz="4"/>
              <w:right w:val="single" w:color="000000" w:sz="4"/>
            </w:tcBorders>
            <w:vAlign w:val="top"/>
          </w:tcPr>
          <w:p>
            <w:pPr>
              <w:jc w:val="left"/>
            </w:pPr>
            <w:r>
              <w:rPr>
                <w:sz w:val="21"/>
              </w:rPr>
              <w:t>服务期一年，具体起止时间：自</w:t>
            </w:r>
            <w:r>
              <w:rPr>
                <w:sz w:val="21"/>
              </w:rPr>
              <w:t>2024</w:t>
            </w:r>
            <w:r>
              <w:rPr>
                <w:sz w:val="21"/>
              </w:rPr>
              <w:t>年</w:t>
            </w:r>
            <w:r>
              <w:rPr>
                <w:sz w:val="21"/>
              </w:rPr>
              <w:t>3</w:t>
            </w:r>
            <w:r>
              <w:rPr>
                <w:sz w:val="21"/>
              </w:rPr>
              <w:t>月</w:t>
            </w:r>
            <w:r>
              <w:rPr>
                <w:sz w:val="21"/>
              </w:rPr>
              <w:t xml:space="preserve">  </w:t>
            </w:r>
            <w:r>
              <w:rPr>
                <w:sz w:val="21"/>
              </w:rPr>
              <w:t>日</w:t>
            </w:r>
            <w:r>
              <w:rPr>
                <w:sz w:val="21"/>
              </w:rPr>
              <w:t>至</w:t>
            </w:r>
            <w:r>
              <w:rPr>
                <w:sz w:val="21"/>
              </w:rPr>
              <w:t>2025</w:t>
            </w:r>
            <w:r>
              <w:rPr>
                <w:sz w:val="21"/>
              </w:rPr>
              <w:t>年</w:t>
            </w:r>
            <w:r>
              <w:rPr>
                <w:sz w:val="21"/>
              </w:rPr>
              <w:t>2</w:t>
            </w:r>
            <w:r>
              <w:rPr>
                <w:sz w:val="21"/>
              </w:rPr>
              <w:t>月</w:t>
            </w:r>
            <w:r>
              <w:rPr>
                <w:sz w:val="21"/>
              </w:rPr>
              <w:t xml:space="preserve">  </w:t>
            </w:r>
            <w:r>
              <w:rPr>
                <w:sz w:val="21"/>
              </w:rPr>
              <w:t>日止</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（一）合同签订生效后</w:t>
            </w:r>
            <w:r>
              <w:rPr>
                <w:sz w:val="21"/>
              </w:rPr>
              <w:t>5</w:t>
            </w:r>
            <w:r>
              <w:rPr>
                <w:sz w:val="21"/>
              </w:rPr>
              <w:t>个日历日内</w:t>
            </w:r>
            <w:r>
              <w:rPr>
                <w:sz w:val="21"/>
              </w:rPr>
              <w:t>，</w:t>
            </w:r>
            <w:r>
              <w:rPr>
                <w:sz w:val="21"/>
              </w:rPr>
              <w:t>甲方</w:t>
            </w:r>
            <w:r>
              <w:rPr>
                <w:sz w:val="21"/>
              </w:rPr>
              <w:t>向</w:t>
            </w:r>
            <w:r>
              <w:rPr>
                <w:sz w:val="21"/>
              </w:rPr>
              <w:t>乙方</w:t>
            </w:r>
            <w:r>
              <w:rPr>
                <w:sz w:val="21"/>
              </w:rPr>
              <w:t>支付合同总额的</w:t>
            </w:r>
            <w:r>
              <w:rPr>
                <w:sz w:val="21"/>
              </w:rPr>
              <w:t>87.89</w:t>
            </w:r>
            <w:r>
              <w:rPr>
                <w:sz w:val="21"/>
              </w:rPr>
              <w:t>%</w:t>
            </w:r>
            <w:r>
              <w:rPr>
                <w:sz w:val="21"/>
              </w:rPr>
              <w:t>作为预付款。</w:t>
            </w:r>
          </w:p>
          <w:p>
            <w:pPr>
              <w:jc w:val="both"/>
            </w:pPr>
            <w:r>
              <w:rPr>
                <w:sz w:val="21"/>
              </w:rPr>
              <w:t>（二）</w:t>
            </w:r>
            <w:r>
              <w:rPr>
                <w:sz w:val="21"/>
              </w:rPr>
              <w:t>整个项目全部完成经验收合格之日起</w:t>
            </w:r>
            <w:r>
              <w:rPr>
                <w:sz w:val="21"/>
              </w:rPr>
              <w:t>5</w:t>
            </w:r>
            <w:r>
              <w:rPr>
                <w:sz w:val="21"/>
              </w:rPr>
              <w:t>个日历日内</w:t>
            </w:r>
            <w:r>
              <w:rPr>
                <w:sz w:val="21"/>
              </w:rPr>
              <w:t>，</w:t>
            </w:r>
            <w:r>
              <w:rPr>
                <w:sz w:val="21"/>
              </w:rPr>
              <w:t>甲方</w:t>
            </w:r>
            <w:r>
              <w:rPr>
                <w:sz w:val="21"/>
              </w:rPr>
              <w:t>向</w:t>
            </w:r>
            <w:r>
              <w:rPr>
                <w:sz w:val="21"/>
              </w:rPr>
              <w:t>乙方</w:t>
            </w:r>
            <w:r>
              <w:rPr>
                <w:sz w:val="21"/>
              </w:rPr>
              <w:t>支付合同总额的</w:t>
            </w:r>
            <w:r>
              <w:rPr>
                <w:sz w:val="21"/>
              </w:rPr>
              <w:t>12.11</w:t>
            </w:r>
            <w:r>
              <w:rPr>
                <w:sz w:val="21"/>
              </w:rPr>
              <w:t>%</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p>
        </w:tc>
        <w:tc>
          <w:tcPr>
            <w:tcW w:type="dxa" w:w="1429"/>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（一）甲方支付每笔款项时，乙方应提供相应金额的正式发票（收款方、出具发票方和合同乙方均必须与中标人名称一致）。</w:t>
            </w:r>
          </w:p>
          <w:p>
            <w:pPr>
              <w:jc w:val="both"/>
            </w:pPr>
            <w:r>
              <w:rPr>
                <w:sz w:val="21"/>
              </w:rPr>
              <w:t>（二）付款方式：采用支票、银行汇付（含电汇）等形式。</w:t>
            </w:r>
          </w:p>
          <w:p>
            <w:pPr>
              <w:jc w:val="both"/>
            </w:pPr>
            <w:r>
              <w:rPr>
                <w:sz w:val="21"/>
              </w:rPr>
              <w:t>（三）因甲方使用的是财政资金，上述支付时间是指甲方向政府支付部门提出办理财政支付申请手续的时间，不含政府财政支付部门审核的时间。因政府财政支付审批流程及办理手续造成支付进度有所推延，而导致甲方逾期付款的，甲方不承担逾期付款违约责任。（四）付款期间如因特殊情况需调整，由双方协商处理。</w:t>
            </w:r>
          </w:p>
        </w:tc>
      </w:tr>
    </w:tbl>
    <w:p>
      <w:pPr>
        <w:jc w:val="both"/>
      </w:pPr>
      <w:r>
        <w:rPr>
          <w:b/>
          <w:sz w:val="21"/>
        </w:rPr>
        <w:t>二十、人员管理</w:t>
      </w:r>
    </w:p>
    <w:p>
      <w:pPr>
        <w:jc w:val="both"/>
      </w:pPr>
      <w:r>
        <w:rPr>
          <w:sz w:val="21"/>
        </w:rPr>
        <w:t>（一）为保障快检工作高质量开展，乙方需指定</w:t>
      </w:r>
      <w:r>
        <w:rPr>
          <w:sz w:val="21"/>
        </w:rPr>
        <w:t>1</w:t>
      </w:r>
      <w:r>
        <w:rPr>
          <w:sz w:val="21"/>
        </w:rPr>
        <w:t>名本采购项目专职负责人（不得由检测人员兼任，必要时可提供现场服务）全面统筹跟进本项目的监督管理工作，专职项目负责人须熟知食品安全国家标准、行业标准，掌握质量控制要求、实验室安全与防护知识等，并具备对食品安全有害因素进行安全评价以及对检测人员出具的检测数据进行分析的能力。</w:t>
      </w:r>
    </w:p>
    <w:p>
      <w:pPr>
        <w:jc w:val="both"/>
      </w:pPr>
      <w:r>
        <w:rPr>
          <w:sz w:val="21"/>
        </w:rPr>
        <w:t>（二）拟投入的项目团队成员（专职项目负责人除外）不少于</w:t>
      </w:r>
      <w:r>
        <w:rPr>
          <w:sz w:val="21"/>
        </w:rPr>
        <w:t>18</w:t>
      </w:r>
      <w:r>
        <w:rPr>
          <w:sz w:val="21"/>
        </w:rPr>
        <w:t>人，应包含至少</w:t>
      </w:r>
      <w:r>
        <w:rPr>
          <w:sz w:val="21"/>
        </w:rPr>
        <w:t>2</w:t>
      </w:r>
      <w:r>
        <w:rPr>
          <w:sz w:val="21"/>
        </w:rPr>
        <w:t>名高级职称人员，全面管理指导快速检测工作，确保严格按规范要求开展快检工作。同时，包含区级或以上食药监管理部门食品安全技术专家，提供汇总分析、食品安全趋势分析及改善建议。项目团队成员中须指派不少于</w:t>
      </w:r>
      <w:r>
        <w:rPr>
          <w:sz w:val="21"/>
        </w:rPr>
        <w:t>2</w:t>
      </w:r>
      <w:r>
        <w:rPr>
          <w:sz w:val="21"/>
        </w:rPr>
        <w:t>名专业快检人员作为工作人员负责开展重大活动餐饮服务食品安全现场驻点保障或巡查保障（包括现场培训、指导监督、检测、采样、记录），对可疑食品和高风险食品、重点食品及原料等进行抽样和快速检测等工作，将检测结果第一时间通知甲方，如检出可疑阳性样品，立即报告并配合甲方将可疑样品送具有</w:t>
      </w:r>
      <w:r>
        <w:rPr>
          <w:sz w:val="21"/>
        </w:rPr>
        <w:t>检测</w:t>
      </w:r>
      <w:r>
        <w:rPr>
          <w:sz w:val="21"/>
        </w:rPr>
        <w:t>资质的实验室进行定量检测，并辅助做好食品安全监管有关工作。在重大活动结束后，做好重大活动相关信息的收集汇总，撰写工作总结，按时间顺序汇总抽样检测情况信息，建立重大活动抽样检测记录档案。</w:t>
      </w:r>
    </w:p>
    <w:p>
      <w:pPr>
        <w:jc w:val="both"/>
      </w:pPr>
      <w:r>
        <w:rPr>
          <w:sz w:val="21"/>
        </w:rPr>
        <w:t>（三）项目团队成员应熟练掌握农产品质量安全快速检测技术要求，并持有效证件上岗。</w:t>
      </w:r>
    </w:p>
    <w:p>
      <w:pPr>
        <w:jc w:val="both"/>
      </w:pPr>
      <w:r>
        <w:rPr>
          <w:sz w:val="21"/>
        </w:rPr>
        <w:t>（四）乙方须按其投标文件中承诺提供的项目组人员必须按要求投入到本项目中，并在合同签订后</w:t>
      </w:r>
      <w:r>
        <w:rPr>
          <w:sz w:val="21"/>
        </w:rPr>
        <w:t>10</w:t>
      </w:r>
      <w:r>
        <w:rPr>
          <w:sz w:val="21"/>
        </w:rPr>
        <w:t>个工作日内将人员的资料（包括但不限于身份证明、工作简历、培训记录、考核记录、上岗资格证书、聘任证明等）提交给甲方备案，在合同期内不得擅自更换并定期参加培训和考核。如无特殊原因原则上不能中途变更人员，确需变更人员的需经甲方书面同意。人员离开后，需在</w:t>
      </w:r>
      <w:r>
        <w:rPr>
          <w:sz w:val="21"/>
        </w:rPr>
        <w:t>7</w:t>
      </w:r>
      <w:r>
        <w:rPr>
          <w:sz w:val="21"/>
        </w:rPr>
        <w:t>天内作出补充。</w:t>
      </w:r>
    </w:p>
    <w:p>
      <w:pPr>
        <w:jc w:val="both"/>
      </w:pPr>
      <w:r>
        <w:rPr>
          <w:sz w:val="21"/>
        </w:rPr>
        <w:t>（五）甲方有权以书面形式要求乙方更换不能按规定履行合同的人员。即使是甲方要求或同意更换的人员，其代替人员的资质仍应得到甲方的认可，且其资历和经验均不低于被更换人员。由此而产生的费用由乙方承担。</w:t>
      </w:r>
    </w:p>
    <w:p>
      <w:pPr>
        <w:jc w:val="both"/>
      </w:pPr>
      <w:r>
        <w:rPr>
          <w:sz w:val="21"/>
        </w:rPr>
        <w:t>（六）如乙方未经甲方书面同意擅自更换项目组人员，甲方有权扣除合同总额的</w:t>
      </w:r>
      <w:r>
        <w:rPr>
          <w:sz w:val="21"/>
        </w:rPr>
        <w:t>10%</w:t>
      </w:r>
      <w:r>
        <w:rPr>
          <w:sz w:val="21"/>
        </w:rPr>
        <w:t>作为违约金。发生本条上述情况累计达</w:t>
      </w:r>
      <w:r>
        <w:rPr>
          <w:sz w:val="21"/>
        </w:rPr>
        <w:t>4</w:t>
      </w:r>
      <w:r>
        <w:rPr>
          <w:sz w:val="21"/>
        </w:rPr>
        <w:t>次后，甲方有权终止合同，由此引致的经济损失，乙方须全额赔偿，甲方保留追究乙方相关责任的权利。</w:t>
      </w:r>
    </w:p>
    <w:p>
      <w:pPr>
        <w:jc w:val="both"/>
      </w:pPr>
      <w:r>
        <w:rPr>
          <w:sz w:val="21"/>
        </w:rPr>
        <w:t>（七）乙方对其雇员的人身安全负全部责任，在服务期间，乙方商须承担项目服务人员的社会保险、意外责任、工伤责任和所有服务风险。与项目服务人员发生的一切劳务纠纷，由乙方负责。</w:t>
      </w:r>
    </w:p>
    <w:p>
      <w:pPr>
        <w:jc w:val="both"/>
      </w:pPr>
      <w:r>
        <w:rPr>
          <w:b/>
          <w:sz w:val="21"/>
        </w:rPr>
        <w:t>二十一、保密要求</w:t>
      </w:r>
    </w:p>
    <w:p>
      <w:pPr>
        <w:ind w:firstLine="420"/>
        <w:jc w:val="both"/>
      </w:pPr>
      <w:r>
        <w:rPr>
          <w:sz w:val="21"/>
        </w:rPr>
        <w:t>任何一方应保证其工作人员或相关人员会对本项目的条款严格保密。乙方有义务对甲方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乙方因违反本条保密义务，给甲方造成的损失的，须进行赔偿。该保密义务不因合同终止而终止，双方须严格保密至相关信息已向大众公开为止。</w:t>
      </w:r>
    </w:p>
    <w:p>
      <w:pPr>
        <w:jc w:val="both"/>
      </w:pPr>
      <w:r>
        <w:rPr>
          <w:b/>
          <w:sz w:val="21"/>
        </w:rPr>
        <w:t>二十二、成果归属</w:t>
      </w:r>
    </w:p>
    <w:p>
      <w:pPr>
        <w:jc w:val="both"/>
      </w:pPr>
      <w:r>
        <w:rPr>
          <w:sz w:val="21"/>
        </w:rPr>
        <w:t>（一）本项目的所有成果著作权等知识产权和所有权益归甲方所有。未经甲方书面同意，乙方不得引用、发表和向第三者提供。</w:t>
      </w:r>
    </w:p>
    <w:p>
      <w:pPr>
        <w:jc w:val="both"/>
      </w:pPr>
      <w:r>
        <w:rPr>
          <w:sz w:val="21"/>
        </w:rPr>
        <w:t>（二）甲方引用乙方的工作成果所完成的新的技术成果，属于甲方所有，甲方可依法享有就该项技术成果取得的精神权利、经济权利和其他权利。</w:t>
      </w:r>
    </w:p>
    <w:p>
      <w:pPr>
        <w:jc w:val="both"/>
      </w:pPr>
      <w:r>
        <w:rPr>
          <w:sz w:val="21"/>
        </w:rPr>
        <w:t>（三）无论发生不限于合同何种情形（包括但提前终止或解除），甲方均有权利用乙方的阶段性工作成果，并且甲方引用乙方的阶段性工作成果所完成的新的技术成果，属于甲方所有，甲方可依法享有就该项技术成果取得的精神权利、经济权利和其他权利。</w:t>
      </w:r>
    </w:p>
    <w:p>
      <w:pPr>
        <w:jc w:val="both"/>
      </w:pPr>
      <w:r>
        <w:rPr>
          <w:b/>
          <w:sz w:val="21"/>
        </w:rPr>
        <w:t>二十三、违约责任</w:t>
      </w:r>
    </w:p>
    <w:p>
      <w:pPr>
        <w:jc w:val="both"/>
      </w:pPr>
      <w:r>
        <w:rPr>
          <w:sz w:val="21"/>
        </w:rPr>
        <w:t>（一）乙方提供的服务不符合以下情形的，甲方有权拒收，并且乙方须向甲方支付合同总额</w:t>
      </w:r>
      <w:r>
        <w:rPr>
          <w:sz w:val="21"/>
        </w:rPr>
        <w:t>5%</w:t>
      </w:r>
      <w:r>
        <w:rPr>
          <w:sz w:val="21"/>
        </w:rPr>
        <w:t>的违约金。</w:t>
      </w:r>
    </w:p>
    <w:p>
      <w:pPr>
        <w:jc w:val="both"/>
      </w:pPr>
      <w:r>
        <w:rPr>
          <w:sz w:val="21"/>
        </w:rPr>
        <w:t>1</w:t>
      </w:r>
      <w:r>
        <w:rPr>
          <w:sz w:val="21"/>
        </w:rPr>
        <w:t>、乙方未按照合同、招标文件、投标文件以及省、市市场监督管理部门快检相关文件最新规定，按时按质按量完成甲方采购的食用农产品快速检测任务。乙方在合同履行期限内完成的食用农产品快检批次数量未达到约定检测任务批次数量。</w:t>
      </w:r>
    </w:p>
    <w:p>
      <w:pPr>
        <w:jc w:val="both"/>
      </w:pPr>
      <w:r>
        <w:rPr>
          <w:sz w:val="21"/>
        </w:rPr>
        <w:t>2</w:t>
      </w:r>
      <w:r>
        <w:rPr>
          <w:sz w:val="21"/>
        </w:rPr>
        <w:t>、乙方未按照约定配备符合要求的检测人员、项目负责人的，或因上述人员流动性过大、工作能力不足等原因影响到采购项目开展及工作质量。</w:t>
      </w:r>
    </w:p>
    <w:p>
      <w:pPr>
        <w:jc w:val="both"/>
      </w:pPr>
      <w:r>
        <w:rPr>
          <w:sz w:val="21"/>
        </w:rPr>
        <w:t>3</w:t>
      </w:r>
      <w:r>
        <w:rPr>
          <w:sz w:val="21"/>
        </w:rPr>
        <w:t>、乙方在项目服务期间的快检阳性总体发现率低于</w:t>
      </w:r>
      <w:r>
        <w:rPr>
          <w:sz w:val="21"/>
        </w:rPr>
        <w:t>1.5%</w:t>
      </w:r>
      <w:r>
        <w:rPr>
          <w:sz w:val="21"/>
        </w:rPr>
        <w:t>。</w:t>
      </w:r>
    </w:p>
    <w:p>
      <w:pPr>
        <w:jc w:val="both"/>
      </w:pPr>
      <w:r>
        <w:rPr>
          <w:sz w:val="21"/>
        </w:rPr>
        <w:t>4</w:t>
      </w:r>
      <w:r>
        <w:rPr>
          <w:sz w:val="21"/>
        </w:rPr>
        <w:t>、乙方对自查和各级市监部门监督检查发现的问题，应及时进行整改，举一反三，全面排查存在问题。乙方拒不整改或整改不力、出现反复，经甲方约谈后仍然整改不到位。</w:t>
      </w:r>
    </w:p>
    <w:p>
      <w:pPr>
        <w:jc w:val="both"/>
      </w:pPr>
      <w:r>
        <w:rPr>
          <w:sz w:val="21"/>
        </w:rPr>
        <w:t>5</w:t>
      </w:r>
      <w:r>
        <w:rPr>
          <w:sz w:val="21"/>
        </w:rPr>
        <w:t>、乙方提供的服务不符合合同、招标文件、投标文件以及省、市市场监督管理部门快检相关文件规定的其他情形。</w:t>
      </w:r>
    </w:p>
    <w:p>
      <w:pPr>
        <w:ind w:firstLine="420"/>
        <w:jc w:val="both"/>
      </w:pPr>
      <w:r>
        <w:rPr>
          <w:sz w:val="21"/>
        </w:rPr>
        <w:t>注：合同、招标文件、投标文件以及省、市市场监督管理部门快检相关文件规定存在冲突的，以要求较高者为适用标准。</w:t>
      </w:r>
    </w:p>
    <w:p>
      <w:pPr>
        <w:jc w:val="both"/>
      </w:pPr>
      <w:r>
        <w:rPr>
          <w:sz w:val="21"/>
        </w:rPr>
        <w:t>（二）乙方应确保检测数据的真实性、可溯性和准确性，乙方对检测数据、原始记录等存在造假行为的，甲方有权解除合同，乙方应退还甲方已经支付的款项并承担合同总金额</w:t>
      </w:r>
      <w:r>
        <w:rPr>
          <w:sz w:val="21"/>
        </w:rPr>
        <w:t>10%</w:t>
      </w:r>
      <w:r>
        <w:rPr>
          <w:sz w:val="21"/>
        </w:rPr>
        <w:t>的违约金，违约金不足以弥补对甲方造成的损失的，乙方还需支付甲方损失赔偿。</w:t>
      </w:r>
    </w:p>
    <w:p>
      <w:pPr>
        <w:jc w:val="both"/>
      </w:pPr>
      <w:r>
        <w:rPr>
          <w:sz w:val="21"/>
        </w:rPr>
        <w:t>（三）乙方未能按规定的时间提供服务，从逾期之日起每日按合同总额</w:t>
      </w:r>
      <w:r>
        <w:rPr>
          <w:sz w:val="21"/>
        </w:rPr>
        <w:t>3</w:t>
      </w:r>
      <w:r>
        <w:rPr>
          <w:sz w:val="21"/>
        </w:rPr>
        <w:t>‰的数额向甲方支付违约金；逾期</w:t>
      </w:r>
      <w:r>
        <w:rPr>
          <w:sz w:val="21"/>
        </w:rPr>
        <w:t>15</w:t>
      </w:r>
      <w:r>
        <w:rPr>
          <w:sz w:val="21"/>
        </w:rPr>
        <w:t>天以上的，甲方有权终止合同，由此造成的甲方经济损失由乙方承担。</w:t>
      </w:r>
    </w:p>
    <w:p>
      <w:pPr>
        <w:jc w:val="both"/>
      </w:pPr>
      <w:r>
        <w:rPr>
          <w:sz w:val="21"/>
        </w:rPr>
        <w:t>（四）甲方无正当理由拒绝接受服务，到期拒付服务款项的，甲方向乙方偿付合同总额</w:t>
      </w:r>
      <w:r>
        <w:rPr>
          <w:sz w:val="21"/>
        </w:rPr>
        <w:t>5%</w:t>
      </w:r>
      <w:r>
        <w:rPr>
          <w:sz w:val="21"/>
        </w:rPr>
        <w:t>的违约金。</w:t>
      </w:r>
    </w:p>
    <w:p>
      <w:pPr>
        <w:jc w:val="both"/>
      </w:pPr>
      <w:r>
        <w:rPr>
          <w:sz w:val="21"/>
        </w:rPr>
        <w:t>（五）乙方将本项目转包或分包的，甲方有权终止合同，由此造成的甲方经济损失由乙方承担。</w:t>
      </w:r>
    </w:p>
    <w:p>
      <w:pPr>
        <w:jc w:val="both"/>
      </w:pPr>
      <w:r>
        <w:rPr>
          <w:sz w:val="21"/>
        </w:rPr>
        <w:t>（六）其它违约责任按《中华人民共和国民法典》处理。</w:t>
      </w:r>
    </w:p>
    <w:p>
      <w:pPr>
        <w:jc w:val="both"/>
      </w:pPr>
      <w:r>
        <w:rPr>
          <w:b/>
          <w:sz w:val="21"/>
        </w:rPr>
        <w:t>二十四、其他要求</w:t>
      </w:r>
    </w:p>
    <w:p>
      <w:pPr>
        <w:jc w:val="both"/>
      </w:pPr>
      <w:r>
        <w:rPr>
          <w:sz w:val="21"/>
        </w:rPr>
        <w:t>（一）乙方在完成本采购项目过程中产生的所有纠纷（包括但不限于劳动纠纷、合同纠纷等），由乙方负责处理，与甲方无关，因处理纠纷产生的全部费用由乙方承担。</w:t>
      </w:r>
    </w:p>
    <w:p>
      <w:pPr>
        <w:jc w:val="both"/>
      </w:pPr>
      <w:r>
        <w:rPr>
          <w:sz w:val="21"/>
        </w:rPr>
        <w:t>（二）目前</w:t>
      </w:r>
      <w:r>
        <w:rPr>
          <w:sz w:val="21"/>
        </w:rPr>
        <w:t>5</w:t>
      </w:r>
      <w:r>
        <w:rPr>
          <w:sz w:val="21"/>
        </w:rPr>
        <w:t>个政府快检室（含</w:t>
      </w:r>
      <w:r>
        <w:rPr>
          <w:sz w:val="21"/>
        </w:rPr>
        <w:t>1</w:t>
      </w:r>
      <w:r>
        <w:rPr>
          <w:sz w:val="21"/>
        </w:rPr>
        <w:t>个批发市场驻场检测点）</w:t>
      </w:r>
      <w:r>
        <w:rPr>
          <w:sz w:val="21"/>
        </w:rPr>
        <w:t>和</w:t>
      </w:r>
      <w:r>
        <w:rPr>
          <w:sz w:val="21"/>
        </w:rPr>
        <w:t>2</w:t>
      </w:r>
      <w:r>
        <w:rPr>
          <w:sz w:val="21"/>
        </w:rPr>
        <w:t>台移动检测车均已配备了相应的设备，但如设备数量不足或者设备不符合要求时，需乙方提供相关设备，相关费用包含在合同总额中。</w:t>
      </w:r>
    </w:p>
    <w:p>
      <w:pPr>
        <w:jc w:val="both"/>
      </w:pPr>
      <w:r>
        <w:rPr>
          <w:b/>
          <w:sz w:val="21"/>
        </w:rPr>
        <w:t>二十五、验收要求</w:t>
      </w:r>
    </w:p>
    <w:p>
      <w:pPr>
        <w:jc w:val="both"/>
      </w:pPr>
      <w:r>
        <w:rPr>
          <w:sz w:val="21"/>
        </w:rPr>
        <w:t>（一）</w:t>
      </w:r>
      <w:r>
        <w:rPr>
          <w:sz w:val="21"/>
        </w:rPr>
        <w:t>由</w:t>
      </w:r>
      <w:r>
        <w:rPr>
          <w:sz w:val="21"/>
        </w:rPr>
        <w:t>甲方委托第三方机构组织专家进行考核验收，相关费用包含在合同价内</w:t>
      </w:r>
      <w:r>
        <w:rPr>
          <w:sz w:val="21"/>
        </w:rPr>
        <w:t>。</w:t>
      </w:r>
    </w:p>
    <w:p>
      <w:pPr>
        <w:jc w:val="both"/>
      </w:pPr>
      <w:r>
        <w:rPr>
          <w:sz w:val="21"/>
        </w:rPr>
        <w:t>（二）</w:t>
      </w:r>
      <w:r>
        <w:rPr>
          <w:sz w:val="21"/>
        </w:rPr>
        <w:t>验收标准：项目采购合同约定事项履约到位，主要包括</w:t>
      </w:r>
      <w:r>
        <w:rPr>
          <w:sz w:val="21"/>
        </w:rPr>
        <w:t>100%</w:t>
      </w:r>
      <w:r>
        <w:rPr>
          <w:sz w:val="21"/>
        </w:rPr>
        <w:t>完成采样及检测服务（抽样、检测、记录、结果公示、不合格发现率、不合格产品处理、跟踪抽检、数据比对分析和监督抽检等），实验室运营管理规范（制度、设备设施、人员、试剂及标准物质等），日常监督管理（每月全覆盖检查、质量分析会议、分析报告等）落实到位等。</w:t>
      </w:r>
    </w:p>
    <w:p>
      <w:pPr>
        <w:jc w:val="both"/>
      </w:pPr>
      <w:r>
        <w:rPr>
          <w:b/>
          <w:sz w:val="21"/>
        </w:rPr>
        <w:t>二十六</w:t>
      </w:r>
      <w:r>
        <w:rPr>
          <w:b/>
          <w:sz w:val="21"/>
        </w:rPr>
        <w:t>、服务对照执行标准</w:t>
      </w:r>
    </w:p>
    <w:p>
      <w:pPr>
        <w:jc w:val="both"/>
      </w:pPr>
      <w:r>
        <w:rPr>
          <w:sz w:val="21"/>
        </w:rPr>
        <w:t>（一）符合中华人民共和国国家和履约地相关安全质量标准、行业技术规范标准；</w:t>
      </w:r>
    </w:p>
    <w:p>
      <w:pPr>
        <w:jc w:val="both"/>
      </w:pPr>
      <w:r>
        <w:rPr>
          <w:sz w:val="21"/>
        </w:rPr>
        <w:t>（二）符合采购文件和响应承诺中各方共同认可的合理要求；</w:t>
      </w:r>
    </w:p>
    <w:p>
      <w:pPr>
        <w:jc w:val="both"/>
      </w:pPr>
      <w:r>
        <w:rPr>
          <w:sz w:val="21"/>
        </w:rPr>
        <w:t>（三）上述各类标准与法规必须是有关官方机构最新发布的现行标准版本。</w:t>
      </w:r>
    </w:p>
    <w:p>
      <w:pPr>
        <w:jc w:val="both"/>
      </w:pPr>
      <w:r>
        <w:rPr>
          <w:b/>
          <w:sz w:val="21"/>
        </w:rPr>
        <w:t>二十七</w:t>
      </w:r>
      <w:r>
        <w:rPr>
          <w:b/>
          <w:sz w:val="21"/>
        </w:rPr>
        <w:t>、投诉跟踪服务要求</w:t>
      </w:r>
    </w:p>
    <w:p>
      <w:pPr>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（二）服务期内，甲方有权按本项目的管理要求对乙方进行不定期抽查检查，若对不合格的管理服务提出警告后，仍未得到有效解决时，甲方有权终止管理合同。</w:t>
      </w:r>
    </w:p>
    <w:p>
      <w:pPr>
        <w:jc w:val="both"/>
      </w:pPr>
      <w:r>
        <w:rPr>
          <w:sz w:val="21"/>
        </w:rPr>
        <w:t>（三）乙方服务机构名称及地址：</w:t>
      </w:r>
    </w:p>
    <w:p>
      <w:pPr>
        <w:ind w:firstLine="420"/>
        <w:jc w:val="both"/>
      </w:pPr>
      <w:r>
        <w:rPr>
          <w:sz w:val="21"/>
        </w:rPr>
        <w:t>联系人</w:t>
      </w:r>
      <w:r>
        <w:rPr>
          <w:sz w:val="21"/>
        </w:rPr>
        <w:t>1</w:t>
      </w:r>
      <w:r>
        <w:rPr>
          <w:sz w:val="21"/>
        </w:rPr>
        <w:t>：          ，联系电话：            ，手机：          ；</w:t>
      </w:r>
    </w:p>
    <w:p>
      <w:pPr>
        <w:ind w:firstLine="420"/>
        <w:jc w:val="both"/>
      </w:pPr>
      <w:r>
        <w:rPr>
          <w:sz w:val="21"/>
        </w:rPr>
        <w:t>联系人</w:t>
      </w:r>
      <w:r>
        <w:rPr>
          <w:sz w:val="21"/>
        </w:rPr>
        <w:t>2</w:t>
      </w:r>
      <w:r>
        <w:rPr>
          <w:sz w:val="21"/>
        </w:rPr>
        <w:t>：          ，联系电话：            ，手机：          ；</w:t>
      </w:r>
    </w:p>
    <w:p>
      <w:pPr>
        <w:ind w:firstLine="420"/>
        <w:jc w:val="both"/>
      </w:pPr>
      <w:r>
        <w:rPr>
          <w:sz w:val="21"/>
        </w:rPr>
        <w:t>服务专线电话：</w:t>
      </w:r>
    </w:p>
    <w:p>
      <w:pPr>
        <w:jc w:val="both"/>
      </w:pPr>
      <w:r>
        <w:rPr>
          <w:sz w:val="21"/>
        </w:rPr>
        <w:t>（四）其他服务要求：（补充内容不得对采购文件和投标文件作实质性修改）</w:t>
      </w:r>
    </w:p>
    <w:p>
      <w:pPr>
        <w:jc w:val="both"/>
      </w:pPr>
      <w:r>
        <w:rPr>
          <w:sz w:val="21"/>
          <w:u w:val="single"/>
        </w:rPr>
        <w:t xml:space="preserve">                                                          </w:t>
      </w:r>
      <w:r>
        <w:rPr>
          <w:sz w:val="21"/>
        </w:rPr>
        <w:t>。</w:t>
      </w:r>
    </w:p>
    <w:p>
      <w:pPr>
        <w:jc w:val="both"/>
      </w:pPr>
      <w:r>
        <w:rPr>
          <w:b/>
          <w:sz w:val="21"/>
        </w:rPr>
        <w:t>二十八</w:t>
      </w:r>
      <w:r>
        <w:rPr>
          <w:b/>
          <w:sz w:val="21"/>
        </w:rPr>
        <w:t>、提出异议的时间和方法</w:t>
      </w:r>
    </w:p>
    <w:p>
      <w:pPr>
        <w:jc w:val="both"/>
      </w:pPr>
      <w:r>
        <w:rPr>
          <w:sz w:val="21"/>
        </w:rPr>
        <w:t>（一）甲方有异议时，应</w:t>
      </w:r>
      <w:r>
        <w:rPr>
          <w:sz w:val="21"/>
          <w:u w:val="single"/>
        </w:rPr>
        <w:t xml:space="preserve">     </w:t>
      </w:r>
      <w:r>
        <w:rPr>
          <w:sz w:val="21"/>
        </w:rPr>
        <w:t>天内向乙方提出书面异议。</w:t>
      </w:r>
    </w:p>
    <w:p>
      <w:pPr>
        <w:jc w:val="both"/>
      </w:pPr>
      <w:r>
        <w:rPr>
          <w:sz w:val="21"/>
        </w:rPr>
        <w:t>（二）乙方在接到甲方书面异议后，应在</w:t>
      </w:r>
      <w:r>
        <w:rPr>
          <w:sz w:val="21"/>
        </w:rPr>
        <w:t>3</w:t>
      </w:r>
      <w:r>
        <w:rPr>
          <w:sz w:val="21"/>
        </w:rPr>
        <w:t>天内负责处理并函复甲方处理情况，否则，即视为默认甲方提出的异议和处理意见。</w:t>
      </w:r>
    </w:p>
    <w:p>
      <w:pPr>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sz w:val="21"/>
        </w:rPr>
        <w:t>二十九</w:t>
      </w:r>
      <w:r>
        <w:rPr>
          <w:b/>
          <w:sz w:val="21"/>
        </w:rPr>
        <w:t>、争议的解决</w:t>
      </w:r>
    </w:p>
    <w:p>
      <w:pPr>
        <w:jc w:val="both"/>
      </w:pPr>
      <w:r>
        <w:rPr>
          <w:sz w:val="21"/>
        </w:rPr>
        <w:t>（一）合同履行过程中发生的任何争议，如双方未能通过友好协商解决，应向佛山市有管辖权的人民法院提起诉讼。</w:t>
      </w:r>
    </w:p>
    <w:p>
      <w:pPr>
        <w:jc w:val="both"/>
      </w:pPr>
      <w:r>
        <w:rPr>
          <w:sz w:val="21"/>
        </w:rPr>
        <w:t>（二）法院审理期间，除提交法院审理的事项外，其它无争议的事项和条款仍应继续履行。</w:t>
      </w:r>
    </w:p>
    <w:p>
      <w:pPr>
        <w:jc w:val="both"/>
      </w:pPr>
      <w:r>
        <w:rPr>
          <w:b/>
          <w:sz w:val="21"/>
        </w:rPr>
        <w:t>三十</w:t>
      </w:r>
      <w:r>
        <w:rPr>
          <w:b/>
          <w:sz w:val="21"/>
        </w:rPr>
        <w:t>、不可抗力</w:t>
      </w:r>
    </w:p>
    <w:p>
      <w:pPr>
        <w:ind w:firstLine="420"/>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三十一</w:t>
      </w:r>
      <w:r>
        <w:rPr>
          <w:b/>
          <w:sz w:val="21"/>
        </w:rPr>
        <w:t>、税费</w:t>
      </w:r>
    </w:p>
    <w:p>
      <w:pPr>
        <w:jc w:val="both"/>
      </w:pPr>
      <w:r>
        <w:rPr>
          <w:sz w:val="21"/>
        </w:rPr>
        <w:t>（一）本合同实施过程中所发生的一切税费及不可预见费均由乙方承担。</w:t>
      </w:r>
    </w:p>
    <w:p>
      <w:pPr>
        <w:jc w:val="both"/>
      </w:pPr>
      <w:r>
        <w:rPr>
          <w:sz w:val="21"/>
        </w:rPr>
        <w:t>（二）乙方依照税务规章优先在合同履约地开具发票及纳税，咨询：</w:t>
      </w:r>
      <w:r>
        <w:rPr>
          <w:sz w:val="21"/>
        </w:rPr>
        <w:t>0757-12366</w:t>
      </w:r>
      <w:r>
        <w:rPr>
          <w:sz w:val="21"/>
        </w:rPr>
        <w:t>。</w:t>
      </w:r>
    </w:p>
    <w:p>
      <w:pPr>
        <w:jc w:val="both"/>
      </w:pPr>
      <w:r>
        <w:rPr>
          <w:b/>
          <w:sz w:val="21"/>
        </w:rPr>
        <w:t>三十二</w:t>
      </w:r>
      <w:r>
        <w:rPr>
          <w:b/>
          <w:sz w:val="21"/>
        </w:rPr>
        <w:t>、合同生效与合同备案</w:t>
      </w:r>
    </w:p>
    <w:p>
      <w:pPr>
        <w:jc w:val="both"/>
      </w:pPr>
      <w:r>
        <w:rPr>
          <w:sz w:val="21"/>
        </w:rPr>
        <w:t>（一）本合同在甲乙双方法人代表或其授权代表签字盖章后生效。</w:t>
      </w:r>
    </w:p>
    <w:p>
      <w:pPr>
        <w:jc w:val="both"/>
      </w:pPr>
      <w:r>
        <w:rPr>
          <w:sz w:val="21"/>
        </w:rPr>
        <w:t>（二）自采购合同签订之日起</w:t>
      </w:r>
      <w:r>
        <w:rPr>
          <w:sz w:val="21"/>
        </w:rPr>
        <w:t>7</w:t>
      </w:r>
      <w:r>
        <w:rPr>
          <w:sz w:val="21"/>
        </w:rPr>
        <w:t>个工作日内，由甲方按照有关规定将采购合同副本报同级人民政府财政部门（政府采购管理部门）备案。</w:t>
      </w:r>
    </w:p>
    <w:p>
      <w:pPr>
        <w:jc w:val="both"/>
      </w:pPr>
      <w:r>
        <w:rPr>
          <w:b/>
          <w:sz w:val="21"/>
        </w:rPr>
        <w:t>三十三</w:t>
      </w:r>
      <w:r>
        <w:rPr>
          <w:b/>
          <w:sz w:val="21"/>
        </w:rPr>
        <w:t>、乙方应提供的资料内容</w:t>
      </w:r>
    </w:p>
    <w:p>
      <w:pPr>
        <w:jc w:val="both"/>
      </w:pPr>
      <w:r>
        <w:rPr>
          <w:sz w:val="21"/>
          <w:u w:val="single"/>
        </w:rPr>
        <w:t xml:space="preserve">                                                            </w:t>
      </w:r>
      <w:r>
        <w:rPr>
          <w:sz w:val="21"/>
        </w:rPr>
        <w:t>。</w:t>
      </w:r>
    </w:p>
    <w:p>
      <w:pPr>
        <w:jc w:val="both"/>
      </w:pPr>
      <w:r>
        <w:rPr>
          <w:b/>
          <w:sz w:val="21"/>
        </w:rPr>
        <w:t>三十四</w:t>
      </w:r>
      <w:r>
        <w:rPr>
          <w:b/>
          <w:sz w:val="21"/>
        </w:rPr>
        <w:t>、关于政府采购合同融资</w:t>
      </w:r>
    </w:p>
    <w:p>
      <w:pPr>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（二）融资银行及联系方式：</w:t>
      </w:r>
      <w:r>
        <w:rPr>
          <w:sz w:val="21"/>
          <w:u w:val="single"/>
        </w:rPr>
        <w:t xml:space="preserve">                                                </w:t>
      </w:r>
      <w:r>
        <w:rPr>
          <w:sz w:val="21"/>
        </w:rPr>
        <w:t>。</w:t>
      </w:r>
    </w:p>
    <w:p>
      <w:pPr>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三十五</w:t>
      </w:r>
      <w:r>
        <w:rPr>
          <w:b/>
          <w:sz w:val="21"/>
        </w:rPr>
        <w:t>、其它</w:t>
      </w:r>
    </w:p>
    <w:p>
      <w:pPr>
        <w:jc w:val="both"/>
      </w:pPr>
      <w:r>
        <w:rPr>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（二）如一方（包括联系人）地址、电话、传真号码有变更，应在变更后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jc w:val="both"/>
      </w:pPr>
      <w:r>
        <w:rPr>
          <w:sz w:val="21"/>
        </w:rPr>
        <w:t>（三）未经甲方书面同意，乙方不得擅自向第三方转让其主体性和关键性合同义务。</w:t>
      </w:r>
    </w:p>
    <w:p>
      <w:pPr>
        <w:jc w:val="both"/>
      </w:pPr>
      <w:r>
        <w:rPr>
          <w:sz w:val="21"/>
        </w:rPr>
        <w:t>（四）本合同一式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（五）本合同（含附件）共计</w:t>
      </w:r>
      <w:r>
        <w:rPr>
          <w:sz w:val="21"/>
          <w:u w:val="single"/>
        </w:rPr>
        <w:t xml:space="preserve">    </w:t>
      </w:r>
      <w:r>
        <w:rPr>
          <w:sz w:val="21"/>
        </w:rPr>
        <w:t>页，缺页之合同为无效合同。</w:t>
      </w:r>
    </w:p>
    <w:p>
      <w:pPr>
        <w:jc w:val="both"/>
      </w:pPr>
      <w:r>
        <w:rPr>
          <w:sz w:val="21"/>
        </w:rPr>
        <w:t>（六）本合同签约履约地点：广东省佛山市。</w:t>
      </w:r>
    </w:p>
    <w:p>
      <w:pPr>
        <w:jc w:val="both"/>
      </w:pPr>
      <w:r>
        <w:rPr>
          <w:sz w:val="21"/>
        </w:rPr>
        <w:t>（七）本合同所指</w:t>
      </w:r>
      <w:r>
        <w:rPr>
          <w:sz w:val="21"/>
        </w:rPr>
        <w:t>“</w:t>
      </w:r>
      <w:r>
        <w:rPr>
          <w:sz w:val="21"/>
        </w:rPr>
        <w:t>书面通知</w:t>
      </w:r>
      <w:r>
        <w:rPr>
          <w:sz w:val="21"/>
        </w:rPr>
        <w:t>”</w:t>
      </w:r>
      <w:r>
        <w:rPr>
          <w:sz w:val="21"/>
        </w:rPr>
        <w:t>包括但不限于短信、电子邮件等数据电文的通知形式，到达时间以民事诉讼法的规定为准，但进行书面通知前后，通知方均有义务电话确认通知事项。</w:t>
      </w:r>
    </w:p>
    <w:p>
      <w:pPr>
        <w:jc w:val="both"/>
      </w:pPr>
      <w:r>
        <w:rPr>
          <w:sz w:val="21"/>
        </w:rPr>
        <w:t>（八）双方均已对以上各条款及附件作充分了解，并明确理解由此而产生的相关权责。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514"/>
        <w:gridCol w:w="3792"/>
      </w:tblGrid>
      <w:tr>
        <w:tc>
          <w:tcPr>
            <w:tcW w:type="dxa" w:w="4514"/>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79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514"/>
            <w:tcBorders>
              <w:top w:val="none" w:color="000000" w:sz="4"/>
              <w:left w:val="none" w:color="000000" w:sz="4"/>
              <w:bottom w:val="single" w:color="FFFFFF" w:sz="4"/>
              <w:right w:val="dashed" w:color="000000" w:sz="4"/>
            </w:tcBorders>
            <w:vAlign w:val="top"/>
          </w:tcPr>
          <w:p>
            <w:pPr>
              <w:jc w:val="both"/>
            </w:pPr>
          </w:p>
          <w:p>
            <w:pPr>
              <w:jc w:val="both"/>
            </w:pPr>
          </w:p>
        </w:tc>
        <w:tc>
          <w:tcPr>
            <w:tcW w:type="dxa" w:w="3792"/>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1"/>
              </w:rPr>
              <w:t xml:space="preserve"> </w:t>
            </w:r>
            <w:r>
              <w:rPr>
                <w:sz w:val="21"/>
              </w:rPr>
              <w:t>户</w:t>
            </w:r>
            <w:r>
              <w:rPr>
                <w:sz w:val="21"/>
              </w:rPr>
              <w:t xml:space="preserve"> </w:t>
            </w:r>
            <w:r>
              <w:rPr>
                <w:sz w:val="21"/>
              </w:rPr>
              <w:t>行：</w:t>
            </w:r>
          </w:p>
        </w:tc>
      </w:tr>
    </w:tbl>
    <w:p>
      <w:pPr>
        <w:jc w:val="both"/>
      </w:pPr>
    </w:p>
    <w:p>
      <w:pPr>
        <w:jc w:val="both"/>
      </w:pPr>
    </w:p>
    <w:p>
      <w:pPr>
        <w:jc w:val="both"/>
      </w:pPr>
      <w:r>
        <w:rPr>
          <w:b/>
          <w:sz w:val="21"/>
        </w:rPr>
        <w:t>合同附件清单：</w:t>
      </w:r>
    </w:p>
    <w:p>
      <w:pPr>
        <w:jc w:val="both"/>
      </w:pPr>
      <w:r>
        <w:rPr>
          <w:b/>
          <w:sz w:val="21"/>
        </w:rPr>
        <w:t>附件一、《报价清单明细表》</w:t>
      </w:r>
    </w:p>
    <w:p>
      <w:pPr>
        <w:jc w:val="both"/>
      </w:pPr>
      <w:r>
        <w:rPr>
          <w:b/>
          <w:sz w:val="21"/>
        </w:rPr>
        <w:t>附件二、</w:t>
      </w:r>
      <w:r>
        <w:rPr>
          <w:b/>
          <w:sz w:val="21"/>
        </w:rPr>
        <w:t>2023</w:t>
      </w:r>
      <w:r>
        <w:rPr>
          <w:b/>
          <w:sz w:val="21"/>
        </w:rPr>
        <w:t>年农贸市场快检重点项目清单</w:t>
      </w:r>
    </w:p>
    <w:p>
      <w:pPr>
        <w:ind w:firstLine="480"/>
        <w:jc w:val="both"/>
      </w:pPr>
    </w:p>
    <w:p>
      <w:pPr>
        <w:ind w:firstLine="480"/>
        <w:jc w:val="both"/>
      </w:pPr>
    </w:p>
    <w:p>
      <w:pPr>
        <w:jc w:val="both"/>
      </w:pPr>
    </w:p>
    <w:p>
      <w:pPr>
        <w:jc w:val="both"/>
      </w:pPr>
    </w:p>
    <w:p>
      <w:pPr>
        <w:jc w:val="both"/>
      </w:pPr>
    </w:p>
    <w:p>
      <w:pPr>
        <w:jc w:val="center"/>
      </w:pPr>
      <w:r>
        <w:rPr>
          <w:sz w:val="68"/>
        </w:rPr>
        <w:t>佛山市政府采购项目</w:t>
      </w:r>
    </w:p>
    <w:p>
      <w:pPr>
        <w:jc w:val="center"/>
      </w:pPr>
    </w:p>
    <w:p>
      <w:pPr>
        <w:jc w:val="center"/>
      </w:pPr>
      <w:r>
        <w:rPr>
          <w:sz w:val="68"/>
        </w:rPr>
        <w:t>合同书</w:t>
      </w:r>
    </w:p>
    <w:p>
      <w:pPr>
        <w:jc w:val="center"/>
      </w:pPr>
    </w:p>
    <w:p>
      <w:pPr>
        <w:jc w:val="center"/>
      </w:pPr>
    </w:p>
    <w:p>
      <w:pPr>
        <w:jc w:val="center"/>
      </w:pPr>
    </w:p>
    <w:p>
      <w:pPr>
        <w:jc w:val="both"/>
      </w:pPr>
      <w:r>
        <w:rPr>
          <w:b/>
          <w:sz w:val="24"/>
        </w:rPr>
        <w:t>项目编号：</w:t>
      </w:r>
      <w:r>
        <w:rPr>
          <w:b/>
          <w:sz w:val="24"/>
        </w:rPr>
        <w:t>BDGZ2024005</w:t>
      </w:r>
    </w:p>
    <w:p>
      <w:pPr>
        <w:jc w:val="both"/>
      </w:pPr>
      <w:r>
        <w:rPr>
          <w:b/>
          <w:sz w:val="24"/>
        </w:rPr>
        <w:t>项目名称：</w:t>
      </w:r>
      <w:r>
        <w:rPr>
          <w:b/>
          <w:sz w:val="24"/>
        </w:rPr>
        <w:t>顺德区市场监督管理局</w:t>
      </w:r>
      <w:r>
        <w:rPr>
          <w:b/>
          <w:sz w:val="24"/>
        </w:rPr>
        <w:t>2024</w:t>
      </w:r>
      <w:r>
        <w:rPr>
          <w:b/>
          <w:sz w:val="24"/>
        </w:rPr>
        <w:t>年</w:t>
      </w:r>
      <w:r>
        <w:rPr>
          <w:b/>
          <w:sz w:val="24"/>
        </w:rPr>
        <w:t>3</w:t>
      </w:r>
      <w:r>
        <w:rPr>
          <w:b/>
          <w:sz w:val="24"/>
        </w:rPr>
        <w:t>月</w:t>
      </w:r>
      <w:r>
        <w:rPr>
          <w:b/>
          <w:sz w:val="24"/>
        </w:rPr>
        <w:t>-2025</w:t>
      </w:r>
      <w:r>
        <w:rPr>
          <w:b/>
          <w:sz w:val="24"/>
        </w:rPr>
        <w:t>年</w:t>
      </w:r>
      <w:r>
        <w:rPr>
          <w:b/>
          <w:sz w:val="24"/>
        </w:rPr>
        <w:t>2</w:t>
      </w:r>
      <w:r>
        <w:rPr>
          <w:b/>
          <w:sz w:val="24"/>
        </w:rPr>
        <w:t>月食用农产品快速检测项目</w:t>
      </w:r>
    </w:p>
    <w:p>
      <w:pPr>
        <w:jc w:val="both"/>
      </w:pPr>
      <w:r>
        <w:rPr>
          <w:b/>
          <w:sz w:val="24"/>
        </w:rPr>
        <w:t>包组号：采购包</w:t>
      </w:r>
      <w:r>
        <w:rPr>
          <w:b/>
          <w:sz w:val="24"/>
        </w:rPr>
        <w:t>2(</w:t>
      </w:r>
      <w:r>
        <w:rPr>
          <w:b/>
          <w:sz w:val="24"/>
        </w:rPr>
        <w:t>顺德区市场监督管理局</w:t>
      </w:r>
      <w:r>
        <w:rPr>
          <w:b/>
          <w:sz w:val="24"/>
        </w:rPr>
        <w:t>2024</w:t>
      </w:r>
      <w:r>
        <w:rPr>
          <w:b/>
          <w:sz w:val="24"/>
        </w:rPr>
        <w:t>年</w:t>
      </w:r>
      <w:r>
        <w:rPr>
          <w:b/>
          <w:sz w:val="24"/>
        </w:rPr>
        <w:t>3</w:t>
      </w:r>
      <w:r>
        <w:rPr>
          <w:b/>
          <w:sz w:val="24"/>
        </w:rPr>
        <w:t>月</w:t>
      </w:r>
      <w:r>
        <w:rPr>
          <w:b/>
          <w:sz w:val="24"/>
        </w:rPr>
        <w:t>-2025</w:t>
      </w:r>
      <w:r>
        <w:rPr>
          <w:b/>
          <w:sz w:val="24"/>
        </w:rPr>
        <w:t>年</w:t>
      </w:r>
      <w:r>
        <w:rPr>
          <w:b/>
          <w:sz w:val="24"/>
        </w:rPr>
        <w:t>2</w:t>
      </w:r>
      <w:r>
        <w:rPr>
          <w:b/>
          <w:sz w:val="24"/>
        </w:rPr>
        <w:t>月食用农产品快速检测</w:t>
      </w:r>
      <w:r>
        <w:rPr>
          <w:b/>
          <w:sz w:val="24"/>
        </w:rPr>
        <w:t>-</w:t>
      </w:r>
      <w:r>
        <w:rPr>
          <w:b/>
          <w:sz w:val="24"/>
        </w:rPr>
        <w:t>包</w:t>
      </w:r>
      <w:r>
        <w:rPr>
          <w:b/>
          <w:sz w:val="24"/>
        </w:rPr>
        <w:t>2)</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佛山市顺德区市场监督管理局</w:t>
            </w:r>
            <w:r>
              <w:rPr>
                <w:sz w:val="21"/>
                <w:u w:val="single"/>
              </w:rPr>
              <w:t xml:space="preserve">  </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both"/>
      </w:pPr>
    </w:p>
    <w:p>
      <w:pPr>
        <w:jc w:val="center"/>
      </w:pPr>
      <w:r>
        <w:rPr>
          <w:sz w:val="21"/>
        </w:rPr>
        <w:t xml:space="preserve"> </w:t>
      </w:r>
      <w:r>
        <w:rPr>
          <w:b/>
          <w:sz w:val="44"/>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8"/>
        <w:gridCol w:w="6678"/>
      </w:tblGrid>
      <w:tr>
        <w:tc>
          <w:tcPr>
            <w:tcW w:type="dxa" w:w="162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顺德区市场监督管理局</w:t>
            </w:r>
            <w:r>
              <w:rPr>
                <w:sz w:val="21"/>
                <w:u w:val="single"/>
              </w:rPr>
              <w:t>2024</w:t>
            </w:r>
            <w:r>
              <w:rPr>
                <w:sz w:val="21"/>
                <w:u w:val="single"/>
              </w:rPr>
              <w:t>年</w:t>
            </w:r>
            <w:r>
              <w:rPr>
                <w:sz w:val="21"/>
                <w:u w:val="single"/>
              </w:rPr>
              <w:t>3</w:t>
            </w:r>
            <w:r>
              <w:rPr>
                <w:sz w:val="21"/>
                <w:u w:val="single"/>
              </w:rPr>
              <w:t>月</w:t>
            </w:r>
            <w:r>
              <w:rPr>
                <w:sz w:val="21"/>
                <w:u w:val="single"/>
              </w:rPr>
              <w:t>-2025</w:t>
            </w:r>
            <w:r>
              <w:rPr>
                <w:sz w:val="21"/>
                <w:u w:val="single"/>
              </w:rPr>
              <w:t>年</w:t>
            </w:r>
            <w:r>
              <w:rPr>
                <w:sz w:val="21"/>
                <w:u w:val="single"/>
              </w:rPr>
              <w:t>2</w:t>
            </w:r>
            <w:r>
              <w:rPr>
                <w:sz w:val="21"/>
                <w:u w:val="single"/>
              </w:rPr>
              <w:t>月食用农产品快速检测项目</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78"/>
            <w:tcBorders>
              <w:top w:val="none" w:color="000000" w:sz="4"/>
              <w:left w:val="none" w:color="000000" w:sz="4"/>
              <w:bottom w:val="none" w:color="000000" w:sz="4"/>
              <w:right w:val="none" w:color="000000" w:sz="4"/>
            </w:tcBorders>
            <w:vAlign w:val="top"/>
          </w:tcPr>
          <w:p>
            <w:pPr>
              <w:jc w:val="both"/>
            </w:pPr>
            <w:r>
              <w:rPr>
                <w:sz w:val="21"/>
              </w:rPr>
              <w:t>BDGZ2024005</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rPr>
              <w:t>佛山市顺德区市场监督管理局</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乙</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（中标人名称）</w:t>
            </w:r>
            <w:r>
              <w:rPr>
                <w:sz w:val="21"/>
                <w:u w:val="single"/>
              </w:rPr>
              <w:t xml:space="preserve">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本合同为中小企业预留合同</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包组号：</w:t>
            </w:r>
          </w:p>
        </w:tc>
        <w:tc>
          <w:tcPr>
            <w:tcW w:type="dxa" w:w="6678"/>
            <w:tcBorders>
              <w:top w:val="none" w:color="000000" w:sz="4"/>
              <w:left w:val="none" w:color="000000" w:sz="4"/>
              <w:bottom w:val="none" w:color="000000" w:sz="4"/>
              <w:right w:val="none" w:color="000000" w:sz="4"/>
            </w:tcBorders>
            <w:vAlign w:val="top"/>
          </w:tcPr>
          <w:p>
            <w:pPr>
              <w:jc w:val="both"/>
            </w:pPr>
            <w:r>
              <w:rPr>
                <w:sz w:val="21"/>
              </w:rPr>
              <w:t>采购包</w:t>
            </w:r>
            <w:r>
              <w:rPr>
                <w:sz w:val="21"/>
              </w:rPr>
              <w:t>2(</w:t>
            </w:r>
            <w:r>
              <w:rPr>
                <w:sz w:val="21"/>
              </w:rPr>
              <w:t>顺德区市场监督管理局</w:t>
            </w:r>
            <w:r>
              <w:rPr>
                <w:sz w:val="21"/>
              </w:rPr>
              <w:t>2024</w:t>
            </w:r>
            <w:r>
              <w:rPr>
                <w:sz w:val="21"/>
              </w:rPr>
              <w:t>年</w:t>
            </w:r>
            <w:r>
              <w:rPr>
                <w:sz w:val="21"/>
              </w:rPr>
              <w:t>3</w:t>
            </w:r>
            <w:r>
              <w:rPr>
                <w:sz w:val="21"/>
              </w:rPr>
              <w:t>月</w:t>
            </w:r>
            <w:r>
              <w:rPr>
                <w:sz w:val="21"/>
              </w:rPr>
              <w:t>-2025</w:t>
            </w:r>
            <w:r>
              <w:rPr>
                <w:sz w:val="21"/>
              </w:rPr>
              <w:t>年</w:t>
            </w:r>
            <w:r>
              <w:rPr>
                <w:sz w:val="21"/>
              </w:rPr>
              <w:t>2</w:t>
            </w:r>
            <w:r>
              <w:rPr>
                <w:sz w:val="21"/>
              </w:rPr>
              <w:t>月食用农产品快速检测</w:t>
            </w:r>
            <w:r>
              <w:rPr>
                <w:sz w:val="21"/>
              </w:rPr>
              <w:t>-</w:t>
            </w:r>
            <w:r>
              <w:rPr>
                <w:sz w:val="21"/>
              </w:rPr>
              <w:t>包</w:t>
            </w:r>
            <w:r>
              <w:rPr>
                <w:sz w:val="21"/>
              </w:rPr>
              <w:t>2)</w:t>
            </w:r>
          </w:p>
        </w:tc>
      </w:tr>
    </w:tbl>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sz w:val="21"/>
        </w:rPr>
        <w:t>采样及检测服务</w:t>
      </w:r>
    </w:p>
    <w:p>
      <w:pPr>
        <w:jc w:val="both"/>
      </w:pPr>
      <w:r>
        <w:rPr>
          <w:sz w:val="21"/>
        </w:rPr>
        <w:t>（一）乙方必须严格按照《市场监管总局关于规范食品快速检测使用的意见》（国市监食检规〔</w:t>
      </w:r>
      <w:r>
        <w:rPr>
          <w:sz w:val="21"/>
        </w:rPr>
        <w:t>2023</w:t>
      </w:r>
      <w:r>
        <w:rPr>
          <w:sz w:val="21"/>
        </w:rPr>
        <w:t>〕</w:t>
      </w:r>
      <w:r>
        <w:rPr>
          <w:sz w:val="21"/>
        </w:rPr>
        <w:t>1</w:t>
      </w:r>
      <w:r>
        <w:rPr>
          <w:sz w:val="21"/>
        </w:rPr>
        <w:t>号）、《关于进一步规范农贸市场快检工作的通知》（粤食药监办食农〔</w:t>
      </w:r>
      <w:r>
        <w:rPr>
          <w:sz w:val="21"/>
        </w:rPr>
        <w:t>2016</w:t>
      </w:r>
      <w:r>
        <w:rPr>
          <w:sz w:val="21"/>
        </w:rPr>
        <w:t>〕</w:t>
      </w:r>
      <w:r>
        <w:rPr>
          <w:sz w:val="21"/>
        </w:rPr>
        <w:t>389</w:t>
      </w:r>
      <w:r>
        <w:rPr>
          <w:sz w:val="21"/>
        </w:rPr>
        <w:t>号）、《广东省市场监督管理局关于印发</w:t>
      </w:r>
      <w:r>
        <w:rPr>
          <w:sz w:val="21"/>
        </w:rPr>
        <w:t>2024</w:t>
      </w:r>
      <w:r>
        <w:rPr>
          <w:sz w:val="21"/>
        </w:rPr>
        <w:t>年全省食用农产品快速检测工作方案的通知》（粤市监食经〔</w:t>
      </w:r>
      <w:r>
        <w:rPr>
          <w:sz w:val="21"/>
        </w:rPr>
        <w:t>2024</w:t>
      </w:r>
      <w:r>
        <w:rPr>
          <w:sz w:val="21"/>
        </w:rPr>
        <w:t>〕</w:t>
      </w:r>
      <w:r>
        <w:rPr>
          <w:sz w:val="21"/>
        </w:rPr>
        <w:t>45</w:t>
      </w:r>
      <w:r>
        <w:rPr>
          <w:sz w:val="21"/>
        </w:rPr>
        <w:t>号</w:t>
      </w:r>
      <w:r>
        <w:rPr>
          <w:sz w:val="21"/>
        </w:rPr>
        <w:t>)</w:t>
      </w:r>
      <w:r>
        <w:rPr>
          <w:sz w:val="21"/>
        </w:rPr>
        <w:t>、《广东省市场监督管理局办公室关于委托省食品检验所对食用农产品快检工作开展监督及质量评价的通知》（粤市监办发〔</w:t>
      </w:r>
      <w:r>
        <w:rPr>
          <w:sz w:val="21"/>
        </w:rPr>
        <w:t>2023</w:t>
      </w:r>
      <w:r>
        <w:rPr>
          <w:sz w:val="21"/>
        </w:rPr>
        <w:t>〕</w:t>
      </w:r>
      <w:r>
        <w:rPr>
          <w:sz w:val="21"/>
        </w:rPr>
        <w:t>994</w:t>
      </w:r>
      <w:r>
        <w:rPr>
          <w:sz w:val="21"/>
        </w:rPr>
        <w:t>号）等相关规定要求（当本项目相关技术文件更新时，以更新后的版本为准。如国家、省另有最新的技术规定，则以相应最新规定执行）以及快检设备、快检试剂操作使用方法（有国家规定快速检测方法的不得使用其他方法），按程序、依步骤开展快检，做好抽样、检验、结果记录和公示结果照片记录，做好留样工作，准确填写和妥善保存相关信息记录，确保数据溯源性，以备核查。</w:t>
      </w:r>
    </w:p>
    <w:p>
      <w:pPr>
        <w:jc w:val="both"/>
      </w:pPr>
      <w:r>
        <w:rPr>
          <w:sz w:val="21"/>
        </w:rPr>
        <w:t>（二）对快检不合格食用农产品，乙方需规范填写快检不合格结果告知书，按规定时间（快检完成后</w:t>
      </w:r>
      <w:r>
        <w:rPr>
          <w:sz w:val="21"/>
        </w:rPr>
        <w:t>0.5</w:t>
      </w:r>
      <w:r>
        <w:rPr>
          <w:sz w:val="21"/>
        </w:rPr>
        <w:t>小时）内通知被抽样方</w:t>
      </w:r>
      <w:r>
        <w:rPr>
          <w:sz w:val="21"/>
        </w:rPr>
        <w:t>，</w:t>
      </w:r>
      <w:r>
        <w:rPr>
          <w:sz w:val="21"/>
        </w:rPr>
        <w:t>并向经营者送达快检不合格结果告知书，通知经营者立即暂停销售。经营者认可快检结果的，</w:t>
      </w:r>
      <w:r>
        <w:rPr>
          <w:sz w:val="21"/>
        </w:rPr>
        <w:t>通知</w:t>
      </w:r>
      <w:r>
        <w:rPr>
          <w:sz w:val="21"/>
        </w:rPr>
        <w:t>市场开办者监督经营者现场销毁，对整个销毁过程进行拍照（照片必须体现销毁过程）或视频取证并按对应的告知书编号保存，填写销毁记录表、如实记录不合格产品来源信息，督促食用农产品经营者落实进货查验记录制度等。乙方需现场指导经营者严格按照广东省市场监督管理局、佛山市市场监督管理局要求及时做好不合格产品销毁处置工作，防止不合格食用农产品回流市场，并督促经营者落实食品召回制度。经营者提出异议的，乙方要通知属地市场监管所并进行监督抽检，检验期间，责令经营者暂停销售快检不合格的食用农产品。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对广东省市场监督管理局明确规定快速检测结果呈阳性应启动抽样检验程序的检测项目检出的不合格样品、被抽样单位有异议提出复检的不合格样品，由乙方的法检实验室负责进行法检确认和监督抽检，并及时出具书面检验报告给属地市场监管所依法处理。</w:t>
      </w:r>
    </w:p>
    <w:p>
      <w:pPr>
        <w:jc w:val="both"/>
      </w:pPr>
      <w:r>
        <w:rPr>
          <w:sz w:val="21"/>
        </w:rPr>
        <w:t>（三）为做好阳性样品的后续跟踪处理及相关追溯调查，要求乙方具备的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号）中的附件《</w:t>
      </w:r>
      <w:r>
        <w:rPr>
          <w:sz w:val="21"/>
        </w:rPr>
        <w:t>2023</w:t>
      </w:r>
      <w:r>
        <w:rPr>
          <w:sz w:val="21"/>
        </w:rPr>
        <w:t>年食用农产品监督抽检品种、项目表》的检测项目。并根据省农业厅（农业农村厅）的强制要求参加省农业厅（农业农村厅）组织的能力验证，确保其食用农产品的法定检测资质持续有效。</w:t>
      </w:r>
    </w:p>
    <w:p>
      <w:pPr>
        <w:jc w:val="both"/>
      </w:pPr>
      <w:r>
        <w:rPr>
          <w:sz w:val="21"/>
        </w:rPr>
        <w:t>（四）所有的快检数据要按规定格式实时上传至广东省快检平台。上传食用农产品快检信息包括样品名称、产地、数量、供货单位、被抽检单位、不合格项目等信息。原则上要当天上传，由于停电、设备故障等特殊原因（不可抗力），可在</w:t>
      </w:r>
      <w:r>
        <w:rPr>
          <w:sz w:val="21"/>
        </w:rPr>
        <w:t>48</w:t>
      </w:r>
      <w:r>
        <w:rPr>
          <w:sz w:val="21"/>
        </w:rPr>
        <w:t>小时内补录。乙方要加强对上传数据的检查，对错报、漏报的，要第一时间进行改正，保证平台数据的准确性和规范性。</w:t>
      </w:r>
    </w:p>
    <w:p>
      <w:pPr>
        <w:jc w:val="both"/>
      </w:pPr>
      <w:r>
        <w:rPr>
          <w:sz w:val="21"/>
        </w:rPr>
        <w:t>（五）乙方每月需至少开展一次</w:t>
      </w:r>
      <w:r>
        <w:rPr>
          <w:sz w:val="21"/>
        </w:rPr>
        <w:t>“你点我检” “你送我检”等便民活动，加强与市民的互动，增强市民参与度和知晓度，提高快检工作的社会效果。</w:t>
      </w:r>
    </w:p>
    <w:p>
      <w:pPr>
        <w:jc w:val="both"/>
      </w:pPr>
      <w:r>
        <w:rPr>
          <w:b/>
          <w:sz w:val="21"/>
        </w:rPr>
        <w:t>二、</w:t>
      </w:r>
      <w:r>
        <w:rPr>
          <w:b/>
          <w:sz w:val="21"/>
        </w:rPr>
        <w:t>采样及检测服务具体批次要求</w:t>
      </w:r>
    </w:p>
    <w:p>
      <w:pPr>
        <w:ind w:firstLine="420"/>
        <w:jc w:val="both"/>
      </w:pPr>
      <w:r>
        <w:rPr>
          <w:sz w:val="21"/>
        </w:rPr>
        <w:t>具体抽检要求及批次经双方协商同意后可根据广东省市场监督管理局、佛山市市场监督管理局最新文件要求和工作实际进行调整，项目服务期间抽检批次不得少于下表中约定的检测任务数。</w:t>
      </w:r>
    </w:p>
    <w:tbl>
      <w:tblPr>
        <w:tblW w:w="0" w:type="auto"/>
        <w:tblBorders>
          <w:top w:val="none" w:color="000000" w:sz="4"/>
          <w:left w:val="none" w:color="000000" w:sz="4"/>
          <w:bottom w:val="none" w:color="000000" w:sz="4"/>
          <w:right w:val="none" w:color="000000" w:sz="4"/>
          <w:insideH w:val="none"/>
          <w:insideV w:val="none"/>
        </w:tblBorders>
      </w:tblPr>
      <w:tblGrid>
        <w:gridCol w:w="528"/>
        <w:gridCol w:w="988"/>
        <w:gridCol w:w="769"/>
        <w:gridCol w:w="762"/>
        <w:gridCol w:w="3199"/>
        <w:gridCol w:w="2055"/>
      </w:tblGrid>
      <w:tr>
        <w:tc>
          <w:tcPr>
            <w:tcW w:type="dxa" w:w="528"/>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988"/>
            <w:tcBorders>
              <w:top w:val="single" w:color="000000" w:sz="4"/>
              <w:left w:val="none" w:color="000000" w:sz="4"/>
              <w:bottom w:val="single" w:color="000000" w:sz="4"/>
              <w:right w:val="single" w:color="000000" w:sz="4"/>
            </w:tcBorders>
            <w:shd w:fill="FFFFFF"/>
            <w:vAlign w:val="top"/>
          </w:tcPr>
          <w:p>
            <w:pPr>
              <w:jc w:val="center"/>
            </w:pPr>
            <w:r>
              <w:rPr>
                <w:sz w:val="21"/>
              </w:rPr>
              <w:t>任务名称</w:t>
            </w:r>
          </w:p>
        </w:tc>
        <w:tc>
          <w:tcPr>
            <w:tcW w:type="dxa" w:w="769"/>
            <w:tcBorders>
              <w:top w:val="single" w:color="000000" w:sz="4"/>
              <w:left w:val="none" w:color="000000" w:sz="4"/>
              <w:bottom w:val="single" w:color="000000" w:sz="4"/>
              <w:right w:val="single" w:color="000000" w:sz="4"/>
            </w:tcBorders>
            <w:shd w:fill="FFFFFF"/>
            <w:vAlign w:val="top"/>
          </w:tcPr>
          <w:p>
            <w:pPr>
              <w:jc w:val="center"/>
            </w:pPr>
            <w:r>
              <w:rPr>
                <w:sz w:val="21"/>
              </w:rPr>
              <w:t>检测品种</w:t>
            </w:r>
          </w:p>
        </w:tc>
        <w:tc>
          <w:tcPr>
            <w:tcW w:type="dxa" w:w="762"/>
            <w:tcBorders>
              <w:top w:val="single" w:color="000000" w:sz="4"/>
              <w:left w:val="none" w:color="000000" w:sz="4"/>
              <w:bottom w:val="single" w:color="000000" w:sz="4"/>
              <w:right w:val="single" w:color="000000" w:sz="4"/>
            </w:tcBorders>
            <w:shd w:fill="FFFFFF"/>
            <w:vAlign w:val="top"/>
          </w:tcPr>
          <w:p>
            <w:pPr>
              <w:jc w:val="center"/>
            </w:pPr>
            <w:r>
              <w:rPr>
                <w:sz w:val="21"/>
              </w:rPr>
              <w:t>检测批次</w:t>
            </w:r>
          </w:p>
        </w:tc>
        <w:tc>
          <w:tcPr>
            <w:tcW w:type="dxa" w:w="3199"/>
            <w:tcBorders>
              <w:top w:val="single" w:color="000000" w:sz="4"/>
              <w:left w:val="none" w:color="000000" w:sz="4"/>
              <w:bottom w:val="single" w:color="000000" w:sz="4"/>
              <w:right w:val="single" w:color="000000" w:sz="4"/>
            </w:tcBorders>
            <w:shd w:fill="FFFFFF"/>
            <w:vAlign w:val="top"/>
          </w:tcPr>
          <w:p>
            <w:pPr>
              <w:jc w:val="center"/>
            </w:pPr>
            <w:r>
              <w:rPr>
                <w:sz w:val="21"/>
              </w:rPr>
              <w:t>具体要求</w:t>
            </w:r>
          </w:p>
        </w:tc>
        <w:tc>
          <w:tcPr>
            <w:tcW w:type="dxa" w:w="2055"/>
            <w:tcBorders>
              <w:top w:val="single" w:color="000000" w:sz="4"/>
              <w:left w:val="none" w:color="000000" w:sz="4"/>
              <w:bottom w:val="single" w:color="000000" w:sz="4"/>
              <w:right w:val="single" w:color="000000" w:sz="4"/>
            </w:tcBorders>
            <w:shd w:fill="FFFFFF"/>
            <w:vAlign w:val="top"/>
          </w:tcPr>
          <w:p>
            <w:pPr>
              <w:jc w:val="center"/>
            </w:pPr>
            <w:r>
              <w:rPr>
                <w:sz w:val="21"/>
              </w:rPr>
              <w:t>备注</w:t>
            </w:r>
          </w:p>
        </w:tc>
      </w:tr>
      <w:tr>
        <w:tc>
          <w:tcPr>
            <w:tcW w:type="dxa" w:w="528"/>
            <w:vMerge w:val="restart"/>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88"/>
            <w:vMerge w:val="restart"/>
            <w:tcBorders>
              <w:top w:val="none" w:color="000000" w:sz="4"/>
              <w:left w:val="none" w:color="000000" w:sz="4"/>
              <w:bottom w:val="single" w:color="000000" w:sz="4"/>
              <w:right w:val="single" w:color="000000" w:sz="4"/>
            </w:tcBorders>
            <w:shd w:fill="FFFFFF"/>
            <w:vAlign w:val="top"/>
          </w:tcPr>
          <w:p>
            <w:pPr>
              <w:jc w:val="center"/>
            </w:pPr>
            <w:r>
              <w:rPr>
                <w:sz w:val="21"/>
              </w:rPr>
              <w:t>57</w:t>
            </w:r>
            <w:r>
              <w:rPr>
                <w:sz w:val="21"/>
              </w:rPr>
              <w:t>家农贸市场（零售市场）专项检测任务</w:t>
            </w:r>
          </w:p>
        </w:tc>
        <w:tc>
          <w:tcPr>
            <w:tcW w:type="dxa" w:w="769"/>
            <w:tcBorders>
              <w:top w:val="none" w:color="000000" w:sz="4"/>
              <w:left w:val="none" w:color="000000" w:sz="4"/>
              <w:bottom w:val="none" w:color="000000" w:sz="4"/>
              <w:right w:val="single" w:color="000000" w:sz="4"/>
            </w:tcBorders>
            <w:shd w:fill="FFFFFF"/>
            <w:vAlign w:val="top"/>
          </w:tcPr>
          <w:p>
            <w:pPr>
              <w:jc w:val="center"/>
            </w:pPr>
            <w:r>
              <w:rPr>
                <w:sz w:val="21"/>
              </w:rPr>
              <w:t>蔬菜类</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54720</w:t>
            </w:r>
          </w:p>
        </w:tc>
        <w:tc>
          <w:tcPr>
            <w:tcW w:type="dxa" w:w="3199"/>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家农贸市场，每个零售市场每月检测数量不少于</w:t>
            </w:r>
            <w:r>
              <w:rPr>
                <w:sz w:val="21"/>
              </w:rPr>
              <w:t>100</w:t>
            </w:r>
            <w:r>
              <w:rPr>
                <w:sz w:val="21"/>
              </w:rPr>
              <w:t>批次，蔬菜不少于</w:t>
            </w:r>
            <w:r>
              <w:rPr>
                <w:sz w:val="21"/>
              </w:rPr>
              <w:t>80</w:t>
            </w:r>
            <w:r>
              <w:rPr>
                <w:sz w:val="21"/>
              </w:rPr>
              <w:t>批次（胶体金占比不低于</w:t>
            </w:r>
            <w:r>
              <w:rPr>
                <w:sz w:val="21"/>
              </w:rPr>
              <w:t>50%</w:t>
            </w:r>
            <w:r>
              <w:rPr>
                <w:sz w:val="21"/>
              </w:rPr>
              <w:t>），水产品不少于</w:t>
            </w:r>
            <w:r>
              <w:rPr>
                <w:sz w:val="21"/>
              </w:rPr>
              <w:t>10</w:t>
            </w:r>
            <w:r>
              <w:rPr>
                <w:sz w:val="21"/>
              </w:rPr>
              <w:t>批次，禽畜肉蛋类不少于</w:t>
            </w:r>
            <w:r>
              <w:rPr>
                <w:sz w:val="21"/>
              </w:rPr>
              <w:t>10</w:t>
            </w:r>
            <w:r>
              <w:rPr>
                <w:sz w:val="21"/>
              </w:rPr>
              <w:t>批次。每周开展快检不少于</w:t>
            </w:r>
            <w:r>
              <w:rPr>
                <w:sz w:val="21"/>
              </w:rPr>
              <w:t>5</w:t>
            </w:r>
            <w:r>
              <w:rPr>
                <w:sz w:val="21"/>
              </w:rPr>
              <w:t>天</w:t>
            </w:r>
            <w:r>
              <w:rPr>
                <w:sz w:val="21"/>
              </w:rPr>
              <w:t>。</w:t>
            </w:r>
          </w:p>
        </w:tc>
        <w:tc>
          <w:tcPr>
            <w:tcW w:type="dxa" w:w="2055"/>
            <w:vMerge w:val="restart"/>
            <w:tcBorders>
              <w:top w:val="none" w:color="000000" w:sz="4"/>
              <w:left w:val="none" w:color="000000" w:sz="4"/>
              <w:bottom w:val="single" w:color="000000" w:sz="4"/>
              <w:right w:val="single" w:color="000000" w:sz="4"/>
            </w:tcBorders>
            <w:shd w:fill="FFFFFF"/>
            <w:vAlign w:val="top"/>
          </w:tcPr>
          <w:p>
            <w:pPr>
              <w:jc w:val="both"/>
            </w:pPr>
            <w:r>
              <w:rPr>
                <w:sz w:val="21"/>
              </w:rPr>
              <w:t>57</w:t>
            </w:r>
            <w:r>
              <w:rPr>
                <w:sz w:val="21"/>
              </w:rPr>
              <w:t>家零售市场分布在</w:t>
            </w:r>
            <w:r>
              <w:rPr>
                <w:sz w:val="21"/>
              </w:rPr>
              <w:t>5</w:t>
            </w:r>
            <w:r>
              <w:rPr>
                <w:sz w:val="21"/>
              </w:rPr>
              <w:t>个镇街，原则上伦教</w:t>
            </w:r>
            <w:r>
              <w:rPr>
                <w:sz w:val="21"/>
              </w:rPr>
              <w:t>9</w:t>
            </w:r>
            <w:r>
              <w:rPr>
                <w:sz w:val="21"/>
              </w:rPr>
              <w:t>家、龙江</w:t>
            </w:r>
            <w:r>
              <w:rPr>
                <w:sz w:val="21"/>
              </w:rPr>
              <w:t>12</w:t>
            </w:r>
            <w:r>
              <w:rPr>
                <w:sz w:val="21"/>
              </w:rPr>
              <w:t>家、乐从</w:t>
            </w:r>
            <w:r>
              <w:rPr>
                <w:sz w:val="21"/>
              </w:rPr>
              <w:t>14</w:t>
            </w:r>
            <w:r>
              <w:rPr>
                <w:sz w:val="21"/>
              </w:rPr>
              <w:t>家、陈村</w:t>
            </w:r>
            <w:r>
              <w:rPr>
                <w:sz w:val="21"/>
              </w:rPr>
              <w:t>11</w:t>
            </w:r>
            <w:r>
              <w:rPr>
                <w:sz w:val="21"/>
              </w:rPr>
              <w:t>家、北滘</w:t>
            </w:r>
            <w:r>
              <w:rPr>
                <w:sz w:val="21"/>
              </w:rPr>
              <w:t>11</w:t>
            </w:r>
            <w:r>
              <w:rPr>
                <w:sz w:val="21"/>
              </w:rPr>
              <w:t>家，可根据实际情况调整，此快检任务为广东省市场监督管理局快检专项</w:t>
            </w:r>
          </w:p>
        </w:tc>
      </w:tr>
      <w:tr>
        <w:tc>
          <w:tcPr>
            <w:tcW w:type="dxa" w:w="528"/>
            <w:vMerge/>
            <w:tcBorders>
              <w:top w:val="none" w:color="000000" w:sz="4"/>
              <w:left w:val="single" w:color="000000" w:sz="4"/>
              <w:bottom w:val="single" w:color="000000" w:sz="4"/>
              <w:right w:val="single" w:color="000000" w:sz="4"/>
            </w:tcBorders>
          </w:tcPr>
          <w:p/>
        </w:tc>
        <w:tc>
          <w:tcPr>
            <w:tcW w:type="dxa" w:w="988"/>
            <w:vMerge/>
            <w:tcBorders>
              <w:top w:val="none" w:color="000000" w:sz="4"/>
              <w:left w:val="none" w:color="000000" w:sz="4"/>
              <w:bottom w:val="single" w:color="000000" w:sz="4"/>
              <w:right w:val="single" w:color="000000" w:sz="4"/>
            </w:tcBorders>
          </w:tcPr>
          <w:p/>
        </w:tc>
        <w:tc>
          <w:tcPr>
            <w:tcW w:type="dxa" w:w="769"/>
            <w:tcBorders>
              <w:top w:val="single" w:color="000000" w:sz="4"/>
              <w:left w:val="none" w:color="000000" w:sz="4"/>
              <w:bottom w:val="single" w:color="000000" w:sz="4"/>
              <w:right w:val="single" w:color="000000" w:sz="4"/>
            </w:tcBorders>
            <w:shd w:fill="FFFFFF"/>
            <w:vAlign w:val="top"/>
          </w:tcPr>
          <w:p>
            <w:pPr>
              <w:jc w:val="center"/>
            </w:pPr>
            <w:r>
              <w:rPr>
                <w:sz w:val="21"/>
              </w:rPr>
              <w:t>水产品</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6840</w:t>
            </w:r>
          </w:p>
        </w:tc>
      </w:tr>
      <w:tr>
        <w:tc>
          <w:tcPr>
            <w:tcW w:type="dxa" w:w="528"/>
            <w:vMerge/>
            <w:tcBorders>
              <w:top w:val="none" w:color="000000" w:sz="4"/>
              <w:left w:val="single" w:color="000000" w:sz="4"/>
              <w:bottom w:val="single" w:color="000000" w:sz="4"/>
              <w:right w:val="single" w:color="000000" w:sz="4"/>
            </w:tcBorders>
          </w:tcPr>
          <w:p/>
        </w:tc>
        <w:tc>
          <w:tcPr>
            <w:tcW w:type="dxa" w:w="988"/>
            <w:vMerge/>
            <w:tcBorders>
              <w:top w:val="none" w:color="000000" w:sz="4"/>
              <w:left w:val="none" w:color="000000" w:sz="4"/>
              <w:bottom w:val="single" w:color="000000" w:sz="4"/>
              <w:right w:val="single" w:color="000000" w:sz="4"/>
            </w:tcBorders>
          </w:tcPr>
          <w:p/>
        </w:tc>
        <w:tc>
          <w:tcPr>
            <w:tcW w:type="dxa" w:w="769"/>
            <w:tcBorders>
              <w:top w:val="none" w:color="000000" w:sz="4"/>
              <w:left w:val="none" w:color="000000" w:sz="4"/>
              <w:bottom w:val="single" w:color="000000" w:sz="4"/>
              <w:right w:val="single" w:color="000000" w:sz="4"/>
            </w:tcBorders>
            <w:shd w:fill="FFFFFF"/>
            <w:vAlign w:val="top"/>
          </w:tcPr>
          <w:p>
            <w:pPr>
              <w:jc w:val="center"/>
            </w:pPr>
            <w:r>
              <w:rPr>
                <w:sz w:val="21"/>
              </w:rPr>
              <w:t>禽畜肉蛋类</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6840</w:t>
            </w:r>
          </w:p>
        </w:tc>
      </w:tr>
      <w:tr>
        <w:tc>
          <w:tcPr>
            <w:tcW w:type="dxa" w:w="52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88"/>
            <w:tcBorders>
              <w:top w:val="none" w:color="000000" w:sz="4"/>
              <w:left w:val="none" w:color="000000" w:sz="4"/>
              <w:bottom w:val="single" w:color="000000" w:sz="4"/>
              <w:right w:val="single" w:color="000000" w:sz="4"/>
            </w:tcBorders>
            <w:shd w:fill="FFFFFF"/>
            <w:vAlign w:val="top"/>
          </w:tcPr>
          <w:p>
            <w:pPr>
              <w:jc w:val="center"/>
            </w:pPr>
            <w:r>
              <w:rPr>
                <w:sz w:val="21"/>
              </w:rPr>
              <w:t>伦教三洲水产品批发市场专项检测任务</w:t>
            </w:r>
          </w:p>
        </w:tc>
        <w:tc>
          <w:tcPr>
            <w:tcW w:type="dxa" w:w="769"/>
            <w:tcBorders>
              <w:top w:val="none" w:color="000000" w:sz="4"/>
              <w:left w:val="none" w:color="000000" w:sz="4"/>
              <w:bottom w:val="single" w:color="000000" w:sz="4"/>
              <w:right w:val="single" w:color="000000" w:sz="4"/>
            </w:tcBorders>
            <w:shd w:fill="FFFFFF"/>
            <w:vAlign w:val="top"/>
          </w:tcPr>
          <w:p>
            <w:pPr>
              <w:jc w:val="center"/>
            </w:pPr>
            <w:r>
              <w:rPr>
                <w:sz w:val="21"/>
              </w:rPr>
              <w:t>水产品</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3300</w:t>
            </w:r>
          </w:p>
        </w:tc>
        <w:tc>
          <w:tcPr>
            <w:tcW w:type="dxa" w:w="3199"/>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个水产品批发市场（三洲水产品批发市场）每月快检数量不少于</w:t>
            </w:r>
            <w:r>
              <w:rPr>
                <w:sz w:val="21"/>
              </w:rPr>
              <w:t>300</w:t>
            </w:r>
            <w:r>
              <w:rPr>
                <w:sz w:val="21"/>
              </w:rPr>
              <w:t>批次。每周开展快检不少于</w:t>
            </w:r>
            <w:r>
              <w:rPr>
                <w:sz w:val="21"/>
              </w:rPr>
              <w:t>5</w:t>
            </w:r>
            <w:r>
              <w:rPr>
                <w:sz w:val="21"/>
              </w:rPr>
              <w:t>天</w:t>
            </w:r>
            <w:r>
              <w:rPr>
                <w:sz w:val="21"/>
              </w:rPr>
              <w:t>。</w:t>
            </w:r>
          </w:p>
        </w:tc>
        <w:tc>
          <w:tcPr>
            <w:tcW w:type="dxa" w:w="2055"/>
            <w:tcBorders>
              <w:top w:val="none" w:color="000000" w:sz="4"/>
              <w:left w:val="none" w:color="000000" w:sz="4"/>
              <w:bottom w:val="single" w:color="000000" w:sz="4"/>
              <w:right w:val="single" w:color="000000" w:sz="4"/>
            </w:tcBorders>
            <w:shd w:fill="FFFFFF"/>
            <w:vAlign w:val="top"/>
          </w:tcPr>
          <w:p>
            <w:pPr>
              <w:jc w:val="both"/>
            </w:pPr>
            <w:r>
              <w:rPr>
                <w:sz w:val="21"/>
              </w:rPr>
              <w:t>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528"/>
            <w:vMerge w:val="restart"/>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88"/>
            <w:vMerge w:val="restart"/>
            <w:tcBorders>
              <w:top w:val="none" w:color="000000" w:sz="4"/>
              <w:left w:val="none" w:color="000000" w:sz="4"/>
              <w:bottom w:val="single" w:color="000000" w:sz="4"/>
              <w:right w:val="single" w:color="000000" w:sz="4"/>
            </w:tcBorders>
            <w:shd w:fill="FFFFFF"/>
            <w:vAlign w:val="top"/>
          </w:tcPr>
          <w:p>
            <w:pPr>
              <w:jc w:val="center"/>
            </w:pPr>
            <w:r>
              <w:rPr>
                <w:sz w:val="21"/>
              </w:rPr>
              <w:t>1</w:t>
            </w:r>
            <w:r>
              <w:rPr>
                <w:sz w:val="21"/>
              </w:rPr>
              <w:t>台移动检测车日常检测任务</w:t>
            </w:r>
          </w:p>
        </w:tc>
        <w:tc>
          <w:tcPr>
            <w:tcW w:type="dxa" w:w="769"/>
            <w:tcBorders>
              <w:top w:val="none" w:color="000000" w:sz="4"/>
              <w:left w:val="none" w:color="000000" w:sz="4"/>
              <w:bottom w:val="none" w:color="000000" w:sz="4"/>
              <w:right w:val="single" w:color="000000" w:sz="4"/>
            </w:tcBorders>
            <w:shd w:fill="FFFFFF"/>
            <w:vAlign w:val="top"/>
          </w:tcPr>
          <w:p>
            <w:pPr>
              <w:jc w:val="center"/>
            </w:pPr>
            <w:r>
              <w:rPr>
                <w:sz w:val="21"/>
              </w:rPr>
              <w:t>蔬菜类</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10334</w:t>
            </w:r>
          </w:p>
        </w:tc>
        <w:tc>
          <w:tcPr>
            <w:tcW w:type="dxa" w:w="3199"/>
            <w:vMerge w:val="restart"/>
            <w:tcBorders>
              <w:top w:val="none" w:color="000000" w:sz="4"/>
              <w:left w:val="none" w:color="000000" w:sz="4"/>
              <w:bottom w:val="none" w:color="000000" w:sz="4"/>
              <w:right w:val="single" w:color="000000" w:sz="4"/>
            </w:tcBorders>
            <w:shd w:fill="FFFFFF"/>
            <w:vAlign w:val="top"/>
          </w:tcPr>
          <w:p>
            <w:pPr>
              <w:jc w:val="both"/>
            </w:pPr>
            <w:r>
              <w:rPr>
                <w:sz w:val="21"/>
              </w:rPr>
              <w:t>检测范围为</w:t>
            </w:r>
            <w:r>
              <w:rPr>
                <w:sz w:val="21"/>
              </w:rPr>
              <w:t>25</w:t>
            </w:r>
            <w:r>
              <w:rPr>
                <w:sz w:val="21"/>
              </w:rPr>
              <w:t>家零售市场、大型超市、学校食堂、大型餐饮服务单位、连锁食用农产品销售企业。其中</w:t>
            </w:r>
            <w:r>
              <w:rPr>
                <w:sz w:val="21"/>
              </w:rPr>
              <w:t>25</w:t>
            </w:r>
            <w:r>
              <w:rPr>
                <w:sz w:val="21"/>
              </w:rPr>
              <w:t>家零售市场需完成</w:t>
            </w:r>
            <w:r>
              <w:rPr>
                <w:sz w:val="21"/>
              </w:rPr>
              <w:t>不少于</w:t>
            </w:r>
            <w:r>
              <w:rPr>
                <w:sz w:val="21"/>
              </w:rPr>
              <w:t>6900</w:t>
            </w:r>
            <w:r>
              <w:rPr>
                <w:sz w:val="21"/>
              </w:rPr>
              <w:t>批次，每月</w:t>
            </w:r>
            <w:r>
              <w:rPr>
                <w:sz w:val="21"/>
              </w:rPr>
              <w:t>不少于</w:t>
            </w:r>
            <w:r>
              <w:rPr>
                <w:sz w:val="21"/>
              </w:rPr>
              <w:t>600</w:t>
            </w:r>
            <w:r>
              <w:rPr>
                <w:sz w:val="21"/>
              </w:rPr>
              <w:t>批次（剩下的</w:t>
            </w:r>
            <w:r>
              <w:rPr>
                <w:sz w:val="21"/>
              </w:rPr>
              <w:t>300</w:t>
            </w:r>
            <w:r>
              <w:rPr>
                <w:sz w:val="21"/>
              </w:rPr>
              <w:t>批次需为水产，可自由调整），每月需覆盖</w:t>
            </w:r>
            <w:r>
              <w:rPr>
                <w:sz w:val="21"/>
              </w:rPr>
              <w:t>25</w:t>
            </w:r>
            <w:r>
              <w:rPr>
                <w:sz w:val="21"/>
              </w:rPr>
              <w:t>家零售市场。大型超市需完成</w:t>
            </w:r>
            <w:r>
              <w:rPr>
                <w:sz w:val="21"/>
              </w:rPr>
              <w:t>不少于</w:t>
            </w:r>
            <w:r>
              <w:rPr>
                <w:sz w:val="21"/>
              </w:rPr>
              <w:t>1</w:t>
            </w:r>
            <w:r>
              <w:rPr>
                <w:sz w:val="21"/>
              </w:rPr>
              <w:t>238</w:t>
            </w:r>
            <w:r>
              <w:rPr>
                <w:sz w:val="21"/>
              </w:rPr>
              <w:t>批次，每月</w:t>
            </w:r>
            <w:r>
              <w:rPr>
                <w:sz w:val="21"/>
              </w:rPr>
              <w:t>不少于</w:t>
            </w:r>
            <w:r>
              <w:rPr>
                <w:sz w:val="21"/>
              </w:rPr>
              <w:t>113</w:t>
            </w:r>
            <w:r>
              <w:rPr>
                <w:sz w:val="21"/>
              </w:rPr>
              <w:t>批次。学校食堂需完成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批次。大型餐饮服务单位需完成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批次。连锁食用农产品销售企业需完成</w:t>
            </w:r>
            <w:r>
              <w:rPr>
                <w:sz w:val="21"/>
              </w:rPr>
              <w:t>不少于</w:t>
            </w:r>
            <w:r>
              <w:rPr>
                <w:sz w:val="21"/>
              </w:rPr>
              <w:t>1</w:t>
            </w:r>
            <w:r>
              <w:rPr>
                <w:sz w:val="21"/>
              </w:rPr>
              <w:t>238</w:t>
            </w:r>
            <w:r>
              <w:rPr>
                <w:sz w:val="21"/>
              </w:rPr>
              <w:t>批次，每月</w:t>
            </w:r>
            <w:r>
              <w:rPr>
                <w:sz w:val="21"/>
              </w:rPr>
              <w:t>不少于</w:t>
            </w:r>
            <w:r>
              <w:rPr>
                <w:sz w:val="21"/>
              </w:rPr>
              <w:t>1</w:t>
            </w:r>
            <w:r>
              <w:rPr>
                <w:sz w:val="21"/>
              </w:rPr>
              <w:t>13</w:t>
            </w:r>
            <w:r>
              <w:rPr>
                <w:sz w:val="21"/>
              </w:rPr>
              <w:t>批次。以上</w:t>
            </w:r>
            <w:r>
              <w:rPr>
                <w:sz w:val="21"/>
              </w:rPr>
              <w:t>五</w:t>
            </w:r>
            <w:r>
              <w:rPr>
                <w:sz w:val="21"/>
              </w:rPr>
              <w:t>种检测地点每月检测批次原则上均需满足蔬菜类：水产品：禽畜肉蛋类</w:t>
            </w:r>
            <w:r>
              <w:rPr>
                <w:sz w:val="21"/>
              </w:rPr>
              <w:t>=25:4:1</w:t>
            </w:r>
            <w:r>
              <w:rPr>
                <w:sz w:val="21"/>
              </w:rPr>
              <w:t>，其中蔬菜胶体金占比不低于</w:t>
            </w:r>
            <w:r>
              <w:rPr>
                <w:sz w:val="21"/>
              </w:rPr>
              <w:t>50%</w:t>
            </w:r>
            <w:r>
              <w:rPr>
                <w:sz w:val="21"/>
              </w:rPr>
              <w:t>。对农贸市场开展抽检时，当天开展抽检的每个市场要覆盖蔬菜档不少于</w:t>
            </w:r>
            <w:r>
              <w:rPr>
                <w:sz w:val="21"/>
              </w:rPr>
              <w:t>4</w:t>
            </w:r>
            <w:r>
              <w:rPr>
                <w:sz w:val="21"/>
              </w:rPr>
              <w:t>档，水产档不少于</w:t>
            </w:r>
            <w:r>
              <w:rPr>
                <w:sz w:val="21"/>
              </w:rPr>
              <w:t>2</w:t>
            </w:r>
            <w:r>
              <w:rPr>
                <w:sz w:val="21"/>
              </w:rPr>
              <w:t>档。市场周边有生鲜店时，应当同时对生鲜店销售的食用农产品进行抽检。每周开展快检不少于</w:t>
            </w:r>
            <w:r>
              <w:rPr>
                <w:sz w:val="21"/>
              </w:rPr>
              <w:t>5</w:t>
            </w:r>
            <w:r>
              <w:rPr>
                <w:sz w:val="21"/>
              </w:rPr>
              <w:t>天</w:t>
            </w:r>
            <w:r>
              <w:rPr>
                <w:sz w:val="21"/>
              </w:rPr>
              <w:t>。</w:t>
            </w:r>
          </w:p>
        </w:tc>
        <w:tc>
          <w:tcPr>
            <w:tcW w:type="dxa" w:w="2055"/>
            <w:vMerge w:val="restart"/>
            <w:tcBorders>
              <w:top w:val="none" w:color="000000" w:sz="4"/>
              <w:left w:val="none" w:color="000000" w:sz="4"/>
              <w:bottom w:val="single" w:color="000000" w:sz="4"/>
              <w:right w:val="single" w:color="000000" w:sz="4"/>
            </w:tcBorders>
            <w:shd w:fill="FFFFFF"/>
            <w:vAlign w:val="top"/>
          </w:tcPr>
          <w:p>
            <w:pPr>
              <w:jc w:val="both"/>
            </w:pPr>
            <w:r>
              <w:rPr>
                <w:sz w:val="21"/>
              </w:rPr>
              <w:t>25</w:t>
            </w:r>
            <w:r>
              <w:rPr>
                <w:sz w:val="21"/>
              </w:rPr>
              <w:t>家零售市场原则上是每个镇街</w:t>
            </w:r>
            <w:r>
              <w:rPr>
                <w:sz w:val="21"/>
              </w:rPr>
              <w:t>5</w:t>
            </w:r>
            <w:r>
              <w:rPr>
                <w:sz w:val="21"/>
              </w:rPr>
              <w:t>家，可根据实际情况调整。此项目履行时间：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528"/>
            <w:vMerge/>
            <w:tcBorders>
              <w:top w:val="none" w:color="000000" w:sz="4"/>
              <w:left w:val="single" w:color="000000" w:sz="4"/>
              <w:bottom w:val="single" w:color="000000" w:sz="4"/>
              <w:right w:val="single" w:color="000000" w:sz="4"/>
            </w:tcBorders>
          </w:tcPr>
          <w:p/>
        </w:tc>
        <w:tc>
          <w:tcPr>
            <w:tcW w:type="dxa" w:w="988"/>
            <w:vMerge/>
            <w:tcBorders>
              <w:top w:val="none" w:color="000000" w:sz="4"/>
              <w:left w:val="none" w:color="000000" w:sz="4"/>
              <w:bottom w:val="single" w:color="000000" w:sz="4"/>
              <w:right w:val="single" w:color="000000" w:sz="4"/>
            </w:tcBorders>
          </w:tcPr>
          <w:p/>
        </w:tc>
        <w:tc>
          <w:tcPr>
            <w:tcW w:type="dxa" w:w="769"/>
            <w:tcBorders>
              <w:top w:val="single" w:color="000000" w:sz="4"/>
              <w:left w:val="none" w:color="000000" w:sz="4"/>
              <w:bottom w:val="single" w:color="000000" w:sz="4"/>
              <w:right w:val="single" w:color="000000" w:sz="4"/>
            </w:tcBorders>
            <w:shd w:fill="FFFFFF"/>
            <w:vAlign w:val="top"/>
          </w:tcPr>
          <w:p>
            <w:pPr>
              <w:jc w:val="center"/>
            </w:pPr>
            <w:r>
              <w:rPr>
                <w:sz w:val="21"/>
              </w:rPr>
              <w:t>水产品</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1953</w:t>
            </w:r>
          </w:p>
        </w:tc>
      </w:tr>
      <w:tr>
        <w:tc>
          <w:tcPr>
            <w:tcW w:type="dxa" w:w="528"/>
            <w:vMerge/>
            <w:tcBorders>
              <w:top w:val="none" w:color="000000" w:sz="4"/>
              <w:left w:val="single" w:color="000000" w:sz="4"/>
              <w:bottom w:val="single" w:color="000000" w:sz="4"/>
              <w:right w:val="single" w:color="000000" w:sz="4"/>
            </w:tcBorders>
          </w:tcPr>
          <w:p/>
        </w:tc>
        <w:tc>
          <w:tcPr>
            <w:tcW w:type="dxa" w:w="988"/>
            <w:vMerge/>
            <w:tcBorders>
              <w:top w:val="none" w:color="000000" w:sz="4"/>
              <w:left w:val="none" w:color="000000" w:sz="4"/>
              <w:bottom w:val="single" w:color="000000" w:sz="4"/>
              <w:right w:val="single" w:color="000000" w:sz="4"/>
            </w:tcBorders>
          </w:tcPr>
          <w:p/>
        </w:tc>
        <w:tc>
          <w:tcPr>
            <w:tcW w:type="dxa" w:w="769"/>
            <w:tcBorders>
              <w:top w:val="none" w:color="000000" w:sz="4"/>
              <w:left w:val="none" w:color="000000" w:sz="4"/>
              <w:bottom w:val="single" w:color="000000" w:sz="4"/>
              <w:right w:val="single" w:color="000000" w:sz="4"/>
            </w:tcBorders>
            <w:shd w:fill="FFFFFF"/>
            <w:vAlign w:val="top"/>
          </w:tcPr>
          <w:p>
            <w:pPr>
              <w:jc w:val="center"/>
            </w:pPr>
            <w:r>
              <w:rPr>
                <w:sz w:val="21"/>
              </w:rPr>
              <w:t>禽畜肉蛋类</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413</w:t>
            </w:r>
          </w:p>
        </w:tc>
      </w:tr>
      <w:tr>
        <w:tc>
          <w:tcPr>
            <w:tcW w:type="dxa" w:w="52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88"/>
            <w:tcBorders>
              <w:top w:val="none" w:color="000000" w:sz="4"/>
              <w:left w:val="none" w:color="000000" w:sz="4"/>
              <w:bottom w:val="single" w:color="000000" w:sz="4"/>
              <w:right w:val="single" w:color="000000" w:sz="4"/>
            </w:tcBorders>
            <w:shd w:fill="FFFFFF"/>
            <w:vAlign w:val="top"/>
          </w:tcPr>
          <w:p>
            <w:pPr>
              <w:jc w:val="center"/>
            </w:pPr>
            <w:r>
              <w:rPr>
                <w:sz w:val="21"/>
              </w:rPr>
              <w:t>餐饮保障</w:t>
            </w:r>
          </w:p>
        </w:tc>
        <w:tc>
          <w:tcPr>
            <w:tcW w:type="dxa" w:w="769"/>
            <w:tcBorders>
              <w:top w:val="none" w:color="000000" w:sz="4"/>
              <w:left w:val="none" w:color="000000" w:sz="4"/>
              <w:bottom w:val="single" w:color="000000" w:sz="4"/>
              <w:right w:val="single" w:color="000000" w:sz="4"/>
            </w:tcBorders>
            <w:shd w:fill="FFFFFF"/>
            <w:vAlign w:val="top"/>
          </w:tcPr>
          <w:p>
            <w:pPr>
              <w:jc w:val="center"/>
            </w:pPr>
            <w:r>
              <w:rPr>
                <w:sz w:val="21"/>
              </w:rPr>
              <w:t>根据现场情况开展快检</w:t>
            </w:r>
          </w:p>
        </w:tc>
        <w:tc>
          <w:tcPr>
            <w:tcW w:type="dxa" w:w="762"/>
            <w:tcBorders>
              <w:top w:val="none" w:color="000000" w:sz="4"/>
              <w:left w:val="none" w:color="000000" w:sz="4"/>
              <w:bottom w:val="single" w:color="000000" w:sz="4"/>
              <w:right w:val="single" w:color="000000" w:sz="4"/>
            </w:tcBorders>
            <w:shd w:fill="FFFFFF"/>
            <w:vAlign w:val="top"/>
          </w:tcPr>
          <w:p>
            <w:pPr>
              <w:jc w:val="center"/>
            </w:pPr>
            <w:r>
              <w:rPr>
                <w:sz w:val="21"/>
              </w:rPr>
              <w:t>600</w:t>
            </w:r>
          </w:p>
        </w:tc>
        <w:tc>
          <w:tcPr>
            <w:tcW w:type="dxa" w:w="3199"/>
            <w:tcBorders>
              <w:top w:val="none" w:color="000000" w:sz="4"/>
              <w:left w:val="none" w:color="000000" w:sz="4"/>
              <w:bottom w:val="single" w:color="000000" w:sz="4"/>
              <w:right w:val="single" w:color="000000" w:sz="4"/>
            </w:tcBorders>
            <w:shd w:fill="FFFFFF"/>
            <w:vAlign w:val="top"/>
          </w:tcPr>
          <w:p>
            <w:pPr>
              <w:jc w:val="both"/>
            </w:pPr>
            <w:r>
              <w:rPr>
                <w:sz w:val="21"/>
              </w:rPr>
              <w:t>服务期内预计开展不少于</w:t>
            </w:r>
            <w:r>
              <w:rPr>
                <w:sz w:val="21"/>
              </w:rPr>
              <w:t>11</w:t>
            </w:r>
            <w:r>
              <w:rPr>
                <w:sz w:val="21"/>
              </w:rPr>
              <w:t>次重大活动或参照重大活动相关要求的活动的餐饮服务食品安全保障任务。预计快速检测食品及原料不少于</w:t>
            </w:r>
            <w:r>
              <w:rPr>
                <w:sz w:val="21"/>
              </w:rPr>
              <w:t>1200</w:t>
            </w:r>
            <w:r>
              <w:rPr>
                <w:sz w:val="21"/>
              </w:rPr>
              <w:t>批次。</w:t>
            </w:r>
          </w:p>
        </w:tc>
        <w:tc>
          <w:tcPr>
            <w:tcW w:type="dxa" w:w="2055"/>
            <w:tcBorders>
              <w:top w:val="none" w:color="000000" w:sz="4"/>
              <w:left w:val="none" w:color="000000" w:sz="4"/>
              <w:bottom w:val="single" w:color="000000" w:sz="4"/>
              <w:right w:val="single" w:color="000000" w:sz="4"/>
            </w:tcBorders>
            <w:shd w:fill="FFFFFF"/>
            <w:vAlign w:val="top"/>
          </w:tcPr>
          <w:p>
            <w:pPr>
              <w:jc w:val="both"/>
            </w:pPr>
            <w:r>
              <w:rPr>
                <w:sz w:val="21"/>
              </w:rPr>
              <w:t>具体餐饮保障活动次数及快检批次数以实际情况为准。此项目履行时间：</w:t>
            </w:r>
            <w:r>
              <w:rPr>
                <w:sz w:val="21"/>
              </w:rPr>
              <w:t>2024</w:t>
            </w:r>
            <w:r>
              <w:rPr>
                <w:sz w:val="21"/>
              </w:rPr>
              <w:t>年</w:t>
            </w:r>
            <w:r>
              <w:rPr>
                <w:sz w:val="21"/>
              </w:rPr>
              <w:t>4</w:t>
            </w:r>
            <w:r>
              <w:rPr>
                <w:sz w:val="21"/>
              </w:rPr>
              <w:t>月</w:t>
            </w:r>
            <w:r>
              <w:rPr>
                <w:sz w:val="21"/>
              </w:rPr>
              <w:t>-2025</w:t>
            </w:r>
            <w:r>
              <w:rPr>
                <w:sz w:val="21"/>
              </w:rPr>
              <w:t>年</w:t>
            </w:r>
            <w:r>
              <w:rPr>
                <w:sz w:val="21"/>
              </w:rPr>
              <w:t>2</w:t>
            </w:r>
            <w:r>
              <w:rPr>
                <w:sz w:val="21"/>
              </w:rPr>
              <w:t>月，共计</w:t>
            </w:r>
            <w:r>
              <w:rPr>
                <w:sz w:val="21"/>
              </w:rPr>
              <w:t>11</w:t>
            </w:r>
            <w:r>
              <w:rPr>
                <w:sz w:val="21"/>
              </w:rPr>
              <w:t>个月。</w:t>
            </w:r>
          </w:p>
        </w:tc>
      </w:tr>
      <w:tr>
        <w:tc>
          <w:tcPr>
            <w:tcW w:type="dxa" w:w="2285"/>
            <w:gridSpan w:val="3"/>
            <w:tcBorders>
              <w:top w:val="none" w:color="000000" w:sz="4"/>
              <w:left w:val="single" w:color="000000" w:sz="4"/>
              <w:bottom w:val="single" w:color="000000" w:sz="4"/>
              <w:right w:val="single" w:color="000000" w:sz="4"/>
            </w:tcBorders>
            <w:shd w:fill="FFFFFF"/>
            <w:vAlign w:val="top"/>
          </w:tcPr>
          <w:p>
            <w:pPr>
              <w:jc w:val="center"/>
            </w:pPr>
            <w:r>
              <w:rPr>
                <w:sz w:val="21"/>
              </w:rPr>
              <w:t>合计</w:t>
            </w:r>
          </w:p>
        </w:tc>
        <w:tc>
          <w:tcPr>
            <w:tcW w:type="dxa" w:w="6016"/>
            <w:gridSpan w:val="3"/>
            <w:tcBorders>
              <w:top w:val="none" w:color="000000" w:sz="4"/>
              <w:left w:val="none" w:color="000000" w:sz="4"/>
              <w:bottom w:val="single" w:color="000000" w:sz="4"/>
              <w:right w:val="single" w:color="000000" w:sz="4"/>
            </w:tcBorders>
            <w:shd w:fill="FFFFFF"/>
            <w:vAlign w:val="top"/>
          </w:tcPr>
          <w:p>
            <w:pPr>
              <w:jc w:val="center"/>
            </w:pPr>
            <w:r>
              <w:rPr>
                <w:sz w:val="21"/>
              </w:rPr>
              <w:t>85000</w:t>
            </w:r>
            <w:r>
              <w:rPr>
                <w:sz w:val="21"/>
              </w:rPr>
              <w:t>批次</w:t>
            </w:r>
          </w:p>
        </w:tc>
      </w:tr>
    </w:tbl>
    <w:p>
      <w:pPr>
        <w:jc w:val="both"/>
      </w:pPr>
      <w:r>
        <w:rPr>
          <w:sz w:val="21"/>
        </w:rPr>
        <w:t>注：</w:t>
      </w:r>
    </w:p>
    <w:p>
      <w:pPr>
        <w:jc w:val="both"/>
      </w:pPr>
      <w:r>
        <w:rPr>
          <w:sz w:val="21"/>
        </w:rPr>
        <w:t>（</w:t>
      </w:r>
      <w:r>
        <w:rPr>
          <w:sz w:val="21"/>
        </w:rPr>
        <w:t>1</w:t>
      </w:r>
      <w:r>
        <w:rPr>
          <w:sz w:val="21"/>
        </w:rPr>
        <w:t>）每个样品抽样量</w:t>
      </w:r>
      <w:r>
        <w:rPr>
          <w:sz w:val="21"/>
        </w:rPr>
        <w:t>原则上</w:t>
      </w:r>
      <w:r>
        <w:rPr>
          <w:sz w:val="21"/>
        </w:rPr>
        <w:t>不得少于</w:t>
      </w:r>
      <w:r>
        <w:rPr>
          <w:sz w:val="21"/>
        </w:rPr>
        <w:t>5</w:t>
      </w:r>
      <w:r>
        <w:rPr>
          <w:sz w:val="21"/>
        </w:rPr>
        <w:t>0g</w:t>
      </w:r>
      <w:r>
        <w:rPr>
          <w:sz w:val="21"/>
        </w:rPr>
        <w:t>，</w:t>
      </w:r>
      <w:r>
        <w:rPr>
          <w:sz w:val="21"/>
        </w:rPr>
        <w:t>每个水产品样品</w:t>
      </w:r>
      <w:r>
        <w:rPr>
          <w:sz w:val="21"/>
        </w:rPr>
        <w:t>原则上检测</w:t>
      </w:r>
      <w:r>
        <w:rPr>
          <w:sz w:val="21"/>
        </w:rPr>
        <w:t>1</w:t>
      </w:r>
      <w:r>
        <w:rPr>
          <w:sz w:val="21"/>
        </w:rPr>
        <w:t>个项目，最多不超过</w:t>
      </w:r>
      <w:r>
        <w:rPr>
          <w:sz w:val="21"/>
        </w:rPr>
        <w:t>2</w:t>
      </w:r>
      <w:r>
        <w:rPr>
          <w:sz w:val="21"/>
        </w:rPr>
        <w:t>个项目。</w:t>
      </w:r>
    </w:p>
    <w:p>
      <w:pPr>
        <w:jc w:val="both"/>
      </w:pPr>
      <w:r>
        <w:rPr>
          <w:sz w:val="21"/>
        </w:rPr>
        <w:t>（</w:t>
      </w:r>
      <w:r>
        <w:rPr>
          <w:sz w:val="21"/>
        </w:rPr>
        <w:t>2</w:t>
      </w:r>
      <w:r>
        <w:rPr>
          <w:sz w:val="21"/>
        </w:rPr>
        <w:t>）水产品抽检品种应覆盖鱼、虾、贝等重点品种，每周抽检不少于</w:t>
      </w:r>
      <w:r>
        <w:rPr>
          <w:sz w:val="21"/>
        </w:rPr>
        <w:t>1</w:t>
      </w:r>
      <w:r>
        <w:rPr>
          <w:sz w:val="21"/>
        </w:rPr>
        <w:t>天。原则上对当天开展抽检的单位每家抽样量不超过</w:t>
      </w:r>
      <w:r>
        <w:rPr>
          <w:sz w:val="21"/>
        </w:rPr>
        <w:t>5</w:t>
      </w:r>
      <w:r>
        <w:rPr>
          <w:sz w:val="21"/>
        </w:rPr>
        <w:t>个样品。可根据经营项目及当地消费习惯，增加选取销售量大、风险较高的食用农产品品种进行快检。有特殊情况的可以根据实际情况上报甲方后适当调整抽检比例。</w:t>
      </w:r>
    </w:p>
    <w:p>
      <w:pPr>
        <w:jc w:val="both"/>
      </w:pPr>
      <w:r>
        <w:rPr>
          <w:sz w:val="21"/>
        </w:rPr>
        <w:t>（</w:t>
      </w:r>
      <w:r>
        <w:rPr>
          <w:sz w:val="21"/>
        </w:rPr>
        <w:t>3</w:t>
      </w:r>
      <w:r>
        <w:rPr>
          <w:sz w:val="21"/>
        </w:rPr>
        <w:t>）快检品种对应检测项目和重点品种筛查应符合《</w:t>
      </w:r>
      <w:r>
        <w:rPr>
          <w:sz w:val="21"/>
        </w:rPr>
        <w:t>2023</w:t>
      </w:r>
      <w:r>
        <w:rPr>
          <w:sz w:val="21"/>
        </w:rPr>
        <w:t>年农贸市场快检项目适用范围及重点品种》，且重点品种筛查批次所占总批次数比例不少于</w:t>
      </w:r>
      <w:r>
        <w:rPr>
          <w:sz w:val="21"/>
        </w:rPr>
        <w:t>50%</w:t>
      </w:r>
      <w:r>
        <w:rPr>
          <w:sz w:val="21"/>
        </w:rPr>
        <w:t>。（适用范围和重点品种根据广东省市场监督管理局最新文件要求实时进行调整）</w:t>
      </w:r>
    </w:p>
    <w:p>
      <w:pPr>
        <w:jc w:val="both"/>
      </w:pPr>
      <w:r>
        <w:rPr>
          <w:sz w:val="21"/>
        </w:rPr>
        <w:t>（</w:t>
      </w:r>
      <w:r>
        <w:rPr>
          <w:sz w:val="21"/>
        </w:rPr>
        <w:t>4</w:t>
      </w:r>
      <w:r>
        <w:rPr>
          <w:sz w:val="21"/>
        </w:rPr>
        <w:t>）快检检测项目开展情况：①蔬菜农残酶抑制项目必须使用酶抑制率法（分光光度法），②每天蔬菜快检检测项目包括农残酶抑制项目和不少于</w:t>
      </w:r>
      <w:r>
        <w:rPr>
          <w:sz w:val="21"/>
        </w:rPr>
        <w:t>2</w:t>
      </w:r>
      <w:r>
        <w:rPr>
          <w:sz w:val="21"/>
        </w:rPr>
        <w:t>种农残胶体金试纸条法项目，③每月农残胶体金试纸条法覆盖检测项目不少于</w:t>
      </w:r>
      <w:r>
        <w:rPr>
          <w:sz w:val="21"/>
        </w:rPr>
        <w:t>7</w:t>
      </w:r>
      <w:r>
        <w:rPr>
          <w:sz w:val="21"/>
        </w:rPr>
        <w:t>项，原则上全年每种农残胶体金试纸条法检测项目检测批次均衡分布，④每月兽残覆盖检测项目不少于</w:t>
      </w:r>
      <w:r>
        <w:rPr>
          <w:sz w:val="21"/>
        </w:rPr>
        <w:t>4</w:t>
      </w:r>
      <w:r>
        <w:rPr>
          <w:sz w:val="21"/>
        </w:rPr>
        <w:t>项（其中瘦肉精、硝基呋喃类检测项目以一个检测项目计），抽检内脏品种批次不少于瘦肉精快检项目批次的</w:t>
      </w:r>
      <w:r>
        <w:rPr>
          <w:sz w:val="21"/>
        </w:rPr>
        <w:t>50%</w:t>
      </w:r>
      <w:r>
        <w:rPr>
          <w:sz w:val="21"/>
        </w:rPr>
        <w:t>，瘦肉精检测项目需覆盖盐酸克伦特罗、莱克多巴胺、沙丁胺醇项目，检测的快检批次数原则上不少于禽畜肉类快检批次数的</w:t>
      </w:r>
      <w:r>
        <w:rPr>
          <w:sz w:val="21"/>
        </w:rPr>
        <w:t>30%</w:t>
      </w:r>
      <w:r>
        <w:rPr>
          <w:sz w:val="21"/>
        </w:rPr>
        <w:t>，氯霉素、恩诺沙星等项目的快检批次数不少于禽畜肉类快检批次数的</w:t>
      </w:r>
      <w:r>
        <w:rPr>
          <w:sz w:val="21"/>
        </w:rPr>
        <w:t>30%</w:t>
      </w:r>
      <w:r>
        <w:rPr>
          <w:sz w:val="21"/>
        </w:rPr>
        <w:t>。</w:t>
      </w:r>
    </w:p>
    <w:p>
      <w:pPr>
        <w:jc w:val="both"/>
      </w:pPr>
      <w:r>
        <w:rPr>
          <w:b/>
          <w:sz w:val="21"/>
        </w:rPr>
        <w:t>三、</w:t>
      </w:r>
      <w:r>
        <w:rPr>
          <w:b/>
          <w:sz w:val="21"/>
        </w:rPr>
        <w:t>检测试剂采购和使用</w:t>
      </w:r>
    </w:p>
    <w:p>
      <w:pPr>
        <w:jc w:val="both"/>
      </w:pPr>
      <w:r>
        <w:rPr>
          <w:sz w:val="21"/>
        </w:rPr>
        <w:t>（一）所有批次的试剂产品由乙方提供，乙方必须采购和使用质量合格、来源合法的快检试剂产品，留存采购快检试剂合同并做好出入库台账（包括名称、厂家、数量、批号、日期），采购的试剂量与所承接任务相匹配，检测所用快检试剂和出入库记录须相符。</w:t>
      </w:r>
    </w:p>
    <w:p>
      <w:pPr>
        <w:jc w:val="both"/>
      </w:pPr>
      <w:r>
        <w:rPr>
          <w:sz w:val="21"/>
        </w:rPr>
        <w:t>（二）乙方所使用的试剂产品必须经过技术验收，并做好验收记录。试剂产品要严格按试剂盒规定条件进行保存，保证投放的试剂产品质量稳定、可靠。定期清理临期、过期试剂并做好处理记录。快检试剂产品不在保质期内的不得使用。如乙方所采购的快检试剂经技术评价不符合要求，乙方应立即停止使用并更换快检试剂。</w:t>
      </w:r>
    </w:p>
    <w:p>
      <w:pPr>
        <w:jc w:val="both"/>
      </w:pPr>
      <w:r>
        <w:rPr>
          <w:b/>
          <w:sz w:val="21"/>
        </w:rPr>
        <w:t>四、标准物质及试剂耗材</w:t>
      </w:r>
    </w:p>
    <w:p>
      <w:pPr>
        <w:ind w:firstLine="420"/>
        <w:jc w:val="both"/>
      </w:pPr>
      <w:r>
        <w:rPr>
          <w:sz w:val="21"/>
        </w:rPr>
        <w:t>乙方购买标准物质和关键试剂耗材时，应具备厂家提供的有效证明或标准物质证书，并按相关程序进行验收、使用、保管，确保其溯源性。其应有固定的存放地点及设备，并有相应的使用记录。检验室中各种溶液应有明确标识，并注明试剂名称、浓度、配置时间、配置人员、有效期等。鼓励乙方开发更多更为便捷实用的快检设备及方法。</w:t>
      </w:r>
    </w:p>
    <w:p>
      <w:pPr>
        <w:jc w:val="both"/>
      </w:pPr>
      <w:r>
        <w:rPr>
          <w:b/>
          <w:sz w:val="21"/>
        </w:rPr>
        <w:t>五、数据对比分析及问题样品确认服务</w:t>
      </w:r>
    </w:p>
    <w:p>
      <w:pPr>
        <w:jc w:val="both"/>
      </w:pPr>
      <w:r>
        <w:rPr>
          <w:sz w:val="21"/>
        </w:rPr>
        <w:t>（一）快检结果验证：项目服务期间，乙方服务期内至少开展</w:t>
      </w:r>
      <w:r>
        <w:rPr>
          <w:sz w:val="21"/>
        </w:rPr>
        <w:t>100</w:t>
      </w:r>
      <w:r>
        <w:rPr>
          <w:sz w:val="21"/>
        </w:rPr>
        <w:t>批次快检结果与实验室定量结果的验证，以确保快检实验室检测数控的准确（验证样品不得全部为快检阴性样品），并及时将相关书面资料提供给属地市场监管所及佛山市顺德区市场监督管理局。</w:t>
      </w:r>
    </w:p>
    <w:p>
      <w:pPr>
        <w:jc w:val="both"/>
      </w:pPr>
      <w:r>
        <w:rPr>
          <w:sz w:val="21"/>
        </w:rPr>
        <w:t>（二）总结分析：乙方需每月对检测结果进行总结分析，查找问题所在，发现系统性或突出安全隐患，为下一阶段重点监测指明方向。每月月初对上月开展快速检测项目进行总结分析并出具分析报告，项目期中和期末时出具项目中期和终期总结报告。</w:t>
      </w:r>
    </w:p>
    <w:p>
      <w:pPr>
        <w:jc w:val="both"/>
      </w:pPr>
      <w:r>
        <w:rPr>
          <w:sz w:val="21"/>
        </w:rPr>
        <w:t>（三）突发应急：乙方需对顺德区突发性的食品安全事件提供应急抽样检验及专家技术支持，并参与顺德区内重大活动餐饮服务食品安全保障工作。预计项目服务期间约</w:t>
      </w:r>
      <w:r>
        <w:rPr>
          <w:sz w:val="21"/>
        </w:rPr>
        <w:t>10</w:t>
      </w:r>
      <w:r>
        <w:rPr>
          <w:sz w:val="21"/>
        </w:rPr>
        <w:t>起突发事件，</w:t>
      </w:r>
      <w:r>
        <w:rPr>
          <w:sz w:val="21"/>
        </w:rPr>
        <w:t>35</w:t>
      </w:r>
      <w:r>
        <w:rPr>
          <w:sz w:val="21"/>
        </w:rPr>
        <w:t>起重大活动餐饮保障任务。</w:t>
      </w:r>
    </w:p>
    <w:p>
      <w:pPr>
        <w:jc w:val="both"/>
      </w:pPr>
      <w:r>
        <w:rPr>
          <w:sz w:val="21"/>
        </w:rPr>
        <w:t>（四）问题样品确认及监督抽检：乙方需对广东省市场监督管理局明确规定快速检测结果呈阳性应启动抽样检验程序的检测项目检出的不合格样品以及被抽样单位有异议提出复检的不合格样品进行法检确认分析，对连续三个月内有</w:t>
      </w:r>
      <w:r>
        <w:rPr>
          <w:sz w:val="21"/>
        </w:rPr>
        <w:t>3</w:t>
      </w:r>
      <w:r>
        <w:rPr>
          <w:sz w:val="21"/>
        </w:rPr>
        <w:t>次及以上快检结果不合格的经营者，</w:t>
      </w:r>
      <w:r>
        <w:rPr>
          <w:sz w:val="21"/>
        </w:rPr>
        <w:t>通知并协助</w:t>
      </w:r>
      <w:r>
        <w:rPr>
          <w:sz w:val="21"/>
        </w:rPr>
        <w:t>市场开办者按照双方协议采取降低信用、暂停经营或者清退等处理措施。相关法检报告乙方应及时提供给属地市场监管所依法处理。</w:t>
      </w:r>
    </w:p>
    <w:p>
      <w:pPr>
        <w:jc w:val="both"/>
      </w:pPr>
      <w:r>
        <w:rPr>
          <w:b/>
          <w:sz w:val="21"/>
        </w:rPr>
        <w:t>六、抽样及快检结果公示</w:t>
      </w:r>
    </w:p>
    <w:p>
      <w:pPr>
        <w:jc w:val="both"/>
      </w:pPr>
      <w:r>
        <w:rPr>
          <w:sz w:val="21"/>
        </w:rPr>
        <w:t>（一）原则上全年不间断开展快检工作，每个政府实验室和每台快检车每周开展快检不少于</w:t>
      </w:r>
      <w:r>
        <w:rPr>
          <w:sz w:val="21"/>
        </w:rPr>
        <w:t>5</w:t>
      </w:r>
      <w:r>
        <w:rPr>
          <w:sz w:val="21"/>
        </w:rPr>
        <w:t>天。</w:t>
      </w:r>
    </w:p>
    <w:p>
      <w:pPr>
        <w:jc w:val="both"/>
      </w:pPr>
      <w:r>
        <w:rPr>
          <w:sz w:val="21"/>
        </w:rPr>
        <w:t>（二）抽样记录应完整规范，抽样记录信息包括日期、品种名称、被抽样单位信息（包括名称、联系方式及地址）、产品供货商、抽样人及被抽样人签名等。</w:t>
      </w:r>
    </w:p>
    <w:p>
      <w:pPr>
        <w:jc w:val="both"/>
      </w:pPr>
      <w:r>
        <w:rPr>
          <w:sz w:val="21"/>
        </w:rPr>
        <w:t>（三）快检检测原始记录须规范且可溯。实验记录要注明日期、样品名称、检测项目、检测结果、所用快检试剂产品批号等，检测数据与设备数据、留档照片、上报数据须一致。</w:t>
      </w:r>
    </w:p>
    <w:p>
      <w:pPr>
        <w:jc w:val="both"/>
      </w:pPr>
      <w:r>
        <w:rPr>
          <w:sz w:val="21"/>
        </w:rPr>
        <w:t>（四）及时公示快检信息。原则上应在每天上午</w:t>
      </w:r>
      <w:r>
        <w:rPr>
          <w:sz w:val="21"/>
        </w:rPr>
        <w:t>10:00</w:t>
      </w:r>
      <w:r>
        <w:rPr>
          <w:sz w:val="21"/>
        </w:rPr>
        <w:t>前完成快检，并将快检结果送达经营者。在其经营场所主要出入口的显著位置通过张贴或电子屏幕等方式及时公示当天食用农产品快检结果，包括样品名称、被抽样单位名称及地址、检验项目、检验结果、不合格产品处理情况等，引导群众消费，督促经营者自觉把好食用农产品质量安全关。公示内容与检测结果要一致，并做好公示结果照片记录。</w:t>
      </w:r>
    </w:p>
    <w:p>
      <w:pPr>
        <w:jc w:val="both"/>
      </w:pPr>
      <w:r>
        <w:rPr>
          <w:sz w:val="21"/>
        </w:rPr>
        <w:t>（五）批发市场内发现无进货凭证和无承诺达标合格证或者其他质量合格凭证（市场开办者已落实入场查验快检合格除外）的产品，快检人员应当立即报告所在地市场监管部门责令市场开办者依法处理，不得开展快检。</w:t>
      </w:r>
    </w:p>
    <w:p>
      <w:pPr>
        <w:jc w:val="both"/>
      </w:pPr>
      <w:r>
        <w:rPr>
          <w:b/>
          <w:sz w:val="21"/>
        </w:rPr>
        <w:t>七、问题发现及处理</w:t>
      </w:r>
    </w:p>
    <w:p>
      <w:pPr>
        <w:jc w:val="both"/>
      </w:pPr>
      <w:r>
        <w:rPr>
          <w:sz w:val="21"/>
        </w:rPr>
        <w:t>（一）本项目共计快速检测食用农产品</w:t>
      </w:r>
      <w:r>
        <w:rPr>
          <w:sz w:val="21"/>
        </w:rPr>
        <w:t>85000</w:t>
      </w:r>
      <w:r>
        <w:rPr>
          <w:sz w:val="21"/>
        </w:rPr>
        <w:t>批次，项目服务期间快检阳性发现率不得低于</w:t>
      </w:r>
      <w:r>
        <w:rPr>
          <w:sz w:val="21"/>
        </w:rPr>
        <w:t>1.5%</w:t>
      </w:r>
      <w:r>
        <w:rPr>
          <w:sz w:val="21"/>
        </w:rPr>
        <w:t>。</w:t>
      </w:r>
    </w:p>
    <w:p>
      <w:pPr>
        <w:jc w:val="both"/>
      </w:pPr>
      <w:r>
        <w:rPr>
          <w:sz w:val="21"/>
        </w:rPr>
        <w:t>（二）乙方应于每月初</w:t>
      </w:r>
      <w:r>
        <w:rPr>
          <w:sz w:val="21"/>
        </w:rPr>
        <w:t>3</w:t>
      </w:r>
      <w:r>
        <w:rPr>
          <w:sz w:val="21"/>
        </w:rPr>
        <w:t>个工作日内提交抽检计划给甲方，每月月底对当月开展快速检测项目进行总结分析并于下月初</w:t>
      </w:r>
      <w:r>
        <w:rPr>
          <w:sz w:val="21"/>
        </w:rPr>
        <w:t>5</w:t>
      </w:r>
      <w:r>
        <w:rPr>
          <w:sz w:val="21"/>
        </w:rPr>
        <w:t>个工作日内出具上月分析报告。分析报告包含当月发现的问题样品检测情况，并针对当季当地特点对后续检测样本的采集、检测方法提出建议，对潜在高风险品种进行重点抽检，确保食品安全检测工作有的放矢。</w:t>
      </w:r>
    </w:p>
    <w:p>
      <w:pPr>
        <w:jc w:val="both"/>
      </w:pPr>
      <w:r>
        <w:rPr>
          <w:sz w:val="21"/>
        </w:rPr>
        <w:t>（三）乙方要对检测人员的检测工作量、规范性、合格率进行汇总分析，定期开展交叉比对，并建立相关的考核制度。</w:t>
      </w:r>
    </w:p>
    <w:p>
      <w:pPr>
        <w:jc w:val="both"/>
      </w:pPr>
      <w:r>
        <w:rPr>
          <w:b/>
          <w:sz w:val="21"/>
        </w:rPr>
        <w:t>八、抽样数据服务</w:t>
      </w:r>
    </w:p>
    <w:p>
      <w:pPr>
        <w:jc w:val="both"/>
      </w:pPr>
      <w:r>
        <w:rPr>
          <w:sz w:val="21"/>
        </w:rPr>
        <w:t>（一）加强抽样信息管理，检测平台对接顺德区企业法人库和许可库。</w:t>
      </w:r>
    </w:p>
    <w:p>
      <w:pPr>
        <w:jc w:val="both"/>
      </w:pPr>
      <w:r>
        <w:rPr>
          <w:sz w:val="21"/>
        </w:rPr>
        <w:t>（二）完善抽样过程填报信息，包括被抽样单位（与企业法人库、许可库信息一致）的名称、联系方式及地址、许可证号、抽样时间、抽样人员、抽样产品名称、类别、原产地信息等。</w:t>
      </w:r>
      <w:r>
        <w:rPr>
          <w:b/>
          <w:sz w:val="21"/>
        </w:rPr>
        <w:t>九、其他技术要求</w:t>
      </w:r>
    </w:p>
    <w:p>
      <w:pPr>
        <w:jc w:val="both"/>
      </w:pPr>
      <w:r>
        <w:rPr>
          <w:sz w:val="21"/>
        </w:rPr>
        <w:t>（一）移动检测车保障能力</w:t>
      </w:r>
    </w:p>
    <w:p>
      <w:pPr>
        <w:ind w:firstLine="420"/>
        <w:jc w:val="both"/>
      </w:pPr>
      <w:r>
        <w:rPr>
          <w:sz w:val="21"/>
        </w:rPr>
        <w:t>服务期内，甲方可向乙方提供</w:t>
      </w:r>
      <w:r>
        <w:rPr>
          <w:sz w:val="21"/>
        </w:rPr>
        <w:t>1</w:t>
      </w:r>
      <w:r>
        <w:rPr>
          <w:sz w:val="21"/>
        </w:rPr>
        <w:t>台移动检测车用于完成本项目任务，为保证项目的正常运行，乙方应根据任务需要适当增加移动检测车的数量配置，强化移动检测车的保障能力。项目服务期间车辆的养路费、保险费、燃油费、保养维修费，所有检测设备设施的计量检定费、维修保养费、清洁费，检测废水废物处理费等由乙方全部承担。</w:t>
      </w:r>
    </w:p>
    <w:p>
      <w:pPr>
        <w:ind w:firstLine="420"/>
        <w:jc w:val="both"/>
      </w:pPr>
      <w:r>
        <w:rPr>
          <w:sz w:val="21"/>
        </w:rPr>
        <w:t>投入本项目移动检测车的基本要求（包括但不限于）：移动检测车长度不小于</w:t>
      </w:r>
      <w:r>
        <w:rPr>
          <w:sz w:val="21"/>
        </w:rPr>
        <w:t>4.8</w:t>
      </w:r>
      <w:r>
        <w:rPr>
          <w:sz w:val="21"/>
        </w:rPr>
        <w:t>米，改装后保留</w:t>
      </w:r>
      <w:r>
        <w:rPr>
          <w:sz w:val="21"/>
        </w:rPr>
        <w:t>4</w:t>
      </w:r>
      <w:r>
        <w:rPr>
          <w:sz w:val="21"/>
        </w:rPr>
        <w:t>个乘员座，后部检测设备均为便携结构，放置在车后部，平时巡回穿梭在抽检现场，部分设备可以在现场采用小型仪器检测提取快速检测结果。改装后具有以下特点：</w:t>
      </w:r>
    </w:p>
    <w:p>
      <w:pPr>
        <w:jc w:val="both"/>
      </w:pPr>
      <w:r>
        <w:rPr>
          <w:sz w:val="21"/>
        </w:rPr>
        <w:t>1</w:t>
      </w:r>
      <w:r>
        <w:rPr>
          <w:sz w:val="21"/>
        </w:rPr>
        <w:t>、具有流动实验室功能，能完成多项常规食品理化检测；</w:t>
      </w:r>
    </w:p>
    <w:p>
      <w:pPr>
        <w:jc w:val="both"/>
      </w:pPr>
      <w:r>
        <w:rPr>
          <w:sz w:val="21"/>
        </w:rPr>
        <w:t>2</w:t>
      </w:r>
      <w:r>
        <w:rPr>
          <w:sz w:val="21"/>
        </w:rPr>
        <w:t>、安装便携式食品安全快速检测箱，提高食品快速检测的质量；</w:t>
      </w:r>
    </w:p>
    <w:p>
      <w:pPr>
        <w:jc w:val="both"/>
      </w:pPr>
      <w:r>
        <w:rPr>
          <w:sz w:val="21"/>
        </w:rPr>
        <w:t>3</w:t>
      </w:r>
      <w:r>
        <w:rPr>
          <w:sz w:val="21"/>
        </w:rPr>
        <w:t>、优异的机动能力，能够适应绝大多数的道路状况；</w:t>
      </w:r>
    </w:p>
    <w:p>
      <w:pPr>
        <w:jc w:val="both"/>
      </w:pPr>
      <w:r>
        <w:rPr>
          <w:sz w:val="21"/>
        </w:rPr>
        <w:t>4</w:t>
      </w:r>
      <w:r>
        <w:rPr>
          <w:sz w:val="21"/>
        </w:rPr>
        <w:t>、具有监控、通讯传输功能，可进行现场取证、笔录、实时监控和远程传输；</w:t>
      </w:r>
    </w:p>
    <w:p>
      <w:pPr>
        <w:jc w:val="both"/>
      </w:pPr>
      <w:r>
        <w:rPr>
          <w:sz w:val="21"/>
        </w:rPr>
        <w:t>5</w:t>
      </w:r>
      <w:r>
        <w:rPr>
          <w:sz w:val="21"/>
        </w:rPr>
        <w:t>、车载设备布局在后座，含电源和检测设备，保留前</w:t>
      </w:r>
      <w:r>
        <w:rPr>
          <w:sz w:val="21"/>
        </w:rPr>
        <w:t>2</w:t>
      </w:r>
      <w:r>
        <w:rPr>
          <w:sz w:val="21"/>
        </w:rPr>
        <w:t>排座椅，</w:t>
      </w:r>
      <w:r>
        <w:rPr>
          <w:sz w:val="21"/>
        </w:rPr>
        <w:t>4</w:t>
      </w:r>
      <w:r>
        <w:rPr>
          <w:sz w:val="21"/>
        </w:rPr>
        <w:t>人，其他位置可以布局设备，定制便携组合仪器箱，平时把这些检测仪器放进箱子内，可以安放多个小型仪器，箱子自带可以开启和关闭的操作平台，箱子固定在车内后，可打开后可以变成仪器操作台面；要求不锈钢或铝合金包边，防水轻便材料制作，箱子可以手提和地面滑动</w:t>
      </w:r>
      <w:r>
        <w:rPr>
          <w:sz w:val="21"/>
        </w:rPr>
        <w:t>;</w:t>
      </w:r>
      <w:r>
        <w:rPr>
          <w:sz w:val="21"/>
        </w:rPr>
        <w:t>内部仪器必须有良好避震；</w:t>
      </w:r>
    </w:p>
    <w:p>
      <w:pPr>
        <w:jc w:val="both"/>
      </w:pPr>
      <w:r>
        <w:rPr>
          <w:sz w:val="21"/>
        </w:rPr>
        <w:t>6</w:t>
      </w:r>
      <w:r>
        <w:rPr>
          <w:sz w:val="21"/>
        </w:rPr>
        <w:t>、电源系统，考虑便携储能系统作为主用电源，整车可以采用市电、储能系统</w:t>
      </w:r>
      <w:r>
        <w:rPr>
          <w:sz w:val="21"/>
        </w:rPr>
        <w:t>2</w:t>
      </w:r>
      <w:r>
        <w:rPr>
          <w:sz w:val="21"/>
        </w:rPr>
        <w:t>路电源保障该车的作业用电；安装车载综合电源输出插座板，内含有漏电保护、过载保护等功能，配套多路插座等，确保各路电源安全使用；</w:t>
      </w:r>
    </w:p>
    <w:p>
      <w:pPr>
        <w:jc w:val="both"/>
      </w:pPr>
      <w:r>
        <w:rPr>
          <w:sz w:val="21"/>
        </w:rPr>
        <w:t>7</w:t>
      </w:r>
      <w:r>
        <w:rPr>
          <w:sz w:val="21"/>
        </w:rPr>
        <w:t>、为确保承载仪器箱子的位置不变形，地板需要在原来的基础加装反方复合防水汽车地板再铺铝合金花纹板，要求该板活动可以拆卸，确保车内设备布局合理，重心分布合理；</w:t>
      </w:r>
    </w:p>
    <w:p>
      <w:pPr>
        <w:jc w:val="both"/>
      </w:pPr>
      <w:r>
        <w:rPr>
          <w:sz w:val="21"/>
        </w:rPr>
        <w:t>（二）每台快检车需配备的设备（包括检测仪器、辅助器具、冷藏冷冻设备、前处理设备、办公设备等）数量和质量性能应满足检测工作任务的需要。</w:t>
      </w:r>
    </w:p>
    <w:p>
      <w:pPr>
        <w:jc w:val="both"/>
      </w:pPr>
      <w:r>
        <w:rPr>
          <w:sz w:val="21"/>
        </w:rPr>
        <w:t>（三）每台移动检测车（快检车）需配置至少</w:t>
      </w:r>
      <w:r>
        <w:rPr>
          <w:sz w:val="21"/>
        </w:rPr>
        <w:t>2</w:t>
      </w:r>
      <w:r>
        <w:rPr>
          <w:sz w:val="21"/>
        </w:rPr>
        <w:t>名检测人员。所有检测人员需经过培训并考核合格，持证上岗。乙方应加强对快检车日常食用农产品快检工作的监管及考核。定期针对采购和使用试剂产品的出入库台账记录、每月快检任务完成情况、快检操作流程、抽样和结果原始记录、检测结果上报及公示等进行督查和考核，确保快检工作质量。</w:t>
      </w:r>
    </w:p>
    <w:p>
      <w:pPr>
        <w:jc w:val="both"/>
      </w:pPr>
      <w:r>
        <w:rPr>
          <w:sz w:val="21"/>
        </w:rPr>
        <w:t>（四）项目履行期间，广东省市场监督管理局、佛山市市场监督管理局快检文件规定有更新的，乙方应按广东省市场监督管理局、佛山市市场监督管理局最新要求执行。</w:t>
      </w:r>
    </w:p>
    <w:p>
      <w:pPr>
        <w:jc w:val="both"/>
      </w:pPr>
      <w:r>
        <w:rPr>
          <w:sz w:val="21"/>
        </w:rPr>
        <w:t>（五）平台的情况反馈：快检平台出现问题时及时反馈给甲方。</w:t>
      </w:r>
    </w:p>
    <w:p>
      <w:pPr>
        <w:jc w:val="both"/>
      </w:pPr>
      <w:r>
        <w:rPr>
          <w:sz w:val="21"/>
        </w:rPr>
        <w:t>（六）其他根据工作提出的服务技术要求：如食品安全宣传活动中的咨询、检测、宣讲等服务；新闻发布、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p>
      <w:pPr>
        <w:jc w:val="both"/>
      </w:pPr>
      <w:r>
        <w:rPr>
          <w:b/>
          <w:sz w:val="21"/>
        </w:rPr>
        <w:t>十、组织管理</w:t>
      </w:r>
    </w:p>
    <w:p>
      <w:pPr>
        <w:jc w:val="both"/>
      </w:pPr>
      <w:r>
        <w:rPr>
          <w:sz w:val="21"/>
        </w:rPr>
        <w:t>（一）快检实验室应有明确的组织架构和管理结构，其职能是通过检测及快速筛查手段，对流通环节食用农产品的质量安全进行监督。应具有必要的场地、人员、设施设备等条件，以保障检测工作的正常运行。制定相应的管理体系，包括其检验室职能、岗位职责、年度及月度抽样检测计划等。工作制度和检测质量控制制度，包括仪器管理制度、标准物质及试剂耗材管理制度、抽样程序、检测流程、检验项目操作程序、检测结果处理流程、检测记录管理制度等。</w:t>
      </w:r>
    </w:p>
    <w:p>
      <w:pPr>
        <w:jc w:val="both"/>
      </w:pPr>
      <w:r>
        <w:rPr>
          <w:sz w:val="21"/>
        </w:rPr>
        <w:t>（二）为确保乙方检测工作的诚信管理、质量稳定、人员安全、生产安全、商业合规等，乙方需尽可能的取得其他综合性的管理体系认证，如：质量管理体系、职业健康安全管理体系、环境管理体系认证证书等认证证书。</w:t>
      </w:r>
    </w:p>
    <w:p>
      <w:pPr>
        <w:jc w:val="both"/>
      </w:pPr>
      <w:r>
        <w:rPr>
          <w:b/>
          <w:sz w:val="21"/>
        </w:rPr>
        <w:t>十一、设施与环境</w:t>
      </w:r>
    </w:p>
    <w:p>
      <w:pPr>
        <w:ind w:firstLine="420"/>
        <w:jc w:val="both"/>
      </w:pPr>
      <w:r>
        <w:rPr>
          <w:sz w:val="21"/>
        </w:rPr>
        <w:t>乙方应具备独立的工作场所，并应根据市场销售的可食用农产品种类，配备包括处理、检测、保存、废弃物处理、数据处理、信息传输等设施和设备。检测场所的温湿度应满足检测方法的要求，同时又要防止交叉污染、保证检测员的身体健康。具备水、电、气、照明、通风、通讯、网络及安全应急等基础设施，还应配备防水、防火、防腐蚀、耐热及易清洗等条件的实验台。移动检测车（快检车）车内应保持良好的清洁及整齐度。</w:t>
      </w:r>
    </w:p>
    <w:p>
      <w:pPr>
        <w:jc w:val="both"/>
      </w:pPr>
      <w:r>
        <w:rPr>
          <w:b/>
          <w:sz w:val="21"/>
        </w:rPr>
        <w:t>十二、设施与设备</w:t>
      </w:r>
    </w:p>
    <w:p>
      <w:pPr>
        <w:jc w:val="both"/>
      </w:pPr>
      <w:r>
        <w:rPr>
          <w:sz w:val="21"/>
        </w:rPr>
        <w:t>（一）</w:t>
      </w:r>
      <w:r>
        <w:rPr>
          <w:sz w:val="21"/>
        </w:rPr>
        <w:t>乙方</w:t>
      </w:r>
      <w:r>
        <w:rPr>
          <w:sz w:val="21"/>
        </w:rPr>
        <w:t>应配备对经营农产品安全质量指标进行检测及快速筛查的仪器设备，保存试剂或样品的冷藏冷冻设备，以及必要的辅助器具（水浴锅、离心机、固相萃取装置、氮吹</w:t>
      </w:r>
      <w:r>
        <w:rPr>
          <w:sz w:val="21"/>
        </w:rPr>
        <w:t>/</w:t>
      </w:r>
      <w:r>
        <w:rPr>
          <w:sz w:val="21"/>
        </w:rPr>
        <w:t>空吹仪等）。乙方配备的设备（包括检测仪器、辅助器具、冷藏冷冻设备、前处理设备、办公设备等）数量和质量性能应满足检测工作任务的需要。</w:t>
      </w:r>
    </w:p>
    <w:p>
      <w:pPr>
        <w:jc w:val="both"/>
      </w:pPr>
      <w:r>
        <w:rPr>
          <w:sz w:val="21"/>
        </w:rPr>
        <w:t>（二）为防范市场销售注水生鲜肉等违法违规行为，在项目服务期间，乙方还需为每台快检车分别配备</w:t>
      </w:r>
      <w:r>
        <w:rPr>
          <w:sz w:val="21"/>
        </w:rPr>
        <w:t>1</w:t>
      </w:r>
      <w:r>
        <w:rPr>
          <w:sz w:val="21"/>
        </w:rPr>
        <w:t>台符合相关检测标准要求的肉类水分快速检测仪器。乙方应将检测设备送有相关资质的计量检定校准机构进行校准达到使用标准后，方可使用；仪器维护保养、检定校准，要形成相关记录，建立仪器设备档案。仪器设备还应具有相应的使用记录，如记录仪器的使用者、是否正常、检定校准、维护保养情况等；且检测设备参数设置与所开展项目要求符合。当仪器出现故障或发生异常时，应立即停止使用，直至故障排除并通过检定或校准表明其能正常工作，方可投入使用。</w:t>
      </w:r>
    </w:p>
    <w:p>
      <w:pPr>
        <w:jc w:val="both"/>
      </w:pPr>
      <w:r>
        <w:rPr>
          <w:b/>
          <w:sz w:val="21"/>
        </w:rPr>
        <w:t>十三、技术培训</w:t>
      </w:r>
    </w:p>
    <w:p>
      <w:pPr>
        <w:jc w:val="both"/>
      </w:pPr>
      <w:r>
        <w:rPr>
          <w:sz w:val="21"/>
        </w:rPr>
        <w:t>（一）乙方应对政府快检室和快检车的检测人员及集中交易市场的市场自建实验室的检测人员开展快检培训，确保快检人员熟练掌握快检操作技能，顺利完成快检任务。</w:t>
      </w:r>
    </w:p>
    <w:p>
      <w:pPr>
        <w:jc w:val="both"/>
      </w:pPr>
      <w:r>
        <w:rPr>
          <w:sz w:val="21"/>
        </w:rPr>
        <w:t>（二）建立快检培训和考核档案，经培训考核合格后，发放资格证，持证上岗。其中，对政府快检室和快检车的现有快检人员或新进快检人员应进行不少于</w:t>
      </w:r>
      <w:r>
        <w:rPr>
          <w:sz w:val="21"/>
        </w:rPr>
        <w:t>5</w:t>
      </w:r>
      <w:r>
        <w:rPr>
          <w:sz w:val="21"/>
        </w:rPr>
        <w:t>小时的技术培训；乙方进行技术培训的内容包括但不限于：</w:t>
      </w:r>
    </w:p>
    <w:p>
      <w:pPr>
        <w:jc w:val="both"/>
      </w:pPr>
      <w:r>
        <w:rPr>
          <w:sz w:val="21"/>
        </w:rPr>
        <w:t>1</w:t>
      </w:r>
      <w:r>
        <w:rPr>
          <w:sz w:val="21"/>
        </w:rPr>
        <w:t>、甲方制定相关快检工作文件的培训以及食品安全知识的培训；</w:t>
      </w:r>
    </w:p>
    <w:p>
      <w:pPr>
        <w:jc w:val="both"/>
      </w:pPr>
      <w:r>
        <w:rPr>
          <w:sz w:val="21"/>
        </w:rPr>
        <w:t>2</w:t>
      </w:r>
      <w:r>
        <w:rPr>
          <w:sz w:val="21"/>
        </w:rPr>
        <w:t>、快检设备设施（包括移液器）的使用与维护；</w:t>
      </w:r>
    </w:p>
    <w:p>
      <w:pPr>
        <w:jc w:val="both"/>
      </w:pPr>
      <w:r>
        <w:rPr>
          <w:sz w:val="21"/>
        </w:rPr>
        <w:t>3</w:t>
      </w:r>
      <w:r>
        <w:rPr>
          <w:sz w:val="21"/>
        </w:rPr>
        <w:t>、快检试剂盒说明书内容的培训，包括称样、震荡摇匀、离心、结果判读等操作步骤的培训；</w:t>
      </w:r>
    </w:p>
    <w:p>
      <w:pPr>
        <w:jc w:val="both"/>
      </w:pPr>
      <w:r>
        <w:rPr>
          <w:sz w:val="21"/>
        </w:rPr>
        <w:t>4</w:t>
      </w:r>
      <w:r>
        <w:rPr>
          <w:sz w:val="21"/>
        </w:rPr>
        <w:t>、快检试剂产品的管理、使用等培训；</w:t>
      </w:r>
    </w:p>
    <w:p>
      <w:pPr>
        <w:jc w:val="both"/>
      </w:pPr>
      <w:r>
        <w:rPr>
          <w:sz w:val="21"/>
        </w:rPr>
        <w:t>5</w:t>
      </w:r>
      <w:r>
        <w:rPr>
          <w:sz w:val="21"/>
        </w:rPr>
        <w:t>、快检信息管理系统的使用；</w:t>
      </w:r>
    </w:p>
    <w:p>
      <w:pPr>
        <w:jc w:val="both"/>
      </w:pPr>
      <w:r>
        <w:rPr>
          <w:sz w:val="21"/>
        </w:rPr>
        <w:t>6</w:t>
      </w:r>
      <w:r>
        <w:rPr>
          <w:sz w:val="21"/>
        </w:rPr>
        <w:t>、档案管理和原始数据管理等方面的培训；</w:t>
      </w:r>
    </w:p>
    <w:p>
      <w:pPr>
        <w:jc w:val="both"/>
      </w:pPr>
      <w:r>
        <w:rPr>
          <w:sz w:val="21"/>
        </w:rPr>
        <w:t>7</w:t>
      </w:r>
      <w:r>
        <w:rPr>
          <w:sz w:val="21"/>
        </w:rPr>
        <w:t>、解决快检技术难题的培训。</w:t>
      </w:r>
    </w:p>
    <w:p>
      <w:pPr>
        <w:jc w:val="both"/>
      </w:pPr>
      <w:r>
        <w:rPr>
          <w:b/>
          <w:sz w:val="21"/>
        </w:rPr>
        <w:t>十四、检验工作流程</w:t>
      </w:r>
    </w:p>
    <w:p>
      <w:pPr>
        <w:jc w:val="both"/>
      </w:pPr>
      <w:r>
        <w:rPr>
          <w:sz w:val="21"/>
        </w:rPr>
        <w:t>（一）快检实验室应具备食用农产品快检的检测能力。其检测项目、样品覆盖率及检测频率应与市场销售的品种及数量相适应，并接受当地部门的监督指导。对于出现误差率较高的食用农产品品种和检验项目及时纠正并上报。检测人员应按照规定的抽样程序和相关要求进行抽样，并填写抽样单。确保样品在整个检测过程中有唯一的编号和状态标识，以避免在传递过程中被混淆。检测方法必须现行有效，如出现结果不合格时，应进行复检；结果出现异议时，应送法检进行确认。通过实验室管理系统生成的样本编号及相关样品信息（包括被检单位名称、抽样时间、抽样人员、抽样产品名称、类别、原产地信息、快检阳性报告等）作为复检的依据，法检复检的结果通过样本编号进行对应匹配，以便跟踪。</w:t>
      </w:r>
    </w:p>
    <w:p>
      <w:pPr>
        <w:jc w:val="both"/>
      </w:pPr>
      <w:r>
        <w:rPr>
          <w:sz w:val="21"/>
        </w:rPr>
        <w:t>（二）原始记录应清晰、真实、准确、及时、完整。检测报告应准确、清晰、明确、客观地报告每一项检测结果。检验报告和检测记录的填写和修改应规范，划改规范，修改后的原字迹清晰可辨，并有修改人的签字或盖章。检测人员和审核人员原则上不得为同一人。检测后的样品至少保留</w:t>
      </w:r>
      <w:r>
        <w:rPr>
          <w:sz w:val="21"/>
        </w:rPr>
        <w:t>48</w:t>
      </w:r>
      <w:r>
        <w:rPr>
          <w:sz w:val="21"/>
        </w:rPr>
        <w:t>小时，阳性样品保存至后续处置结束，阳性复检备份样品应按规定条件保存并进行监控和记录。检测报告、原始记录归档，保留两年。</w:t>
      </w:r>
    </w:p>
    <w:p>
      <w:pPr>
        <w:jc w:val="both"/>
      </w:pPr>
      <w:r>
        <w:rPr>
          <w:b/>
          <w:sz w:val="21"/>
        </w:rPr>
        <w:t>十五、监督管理</w:t>
      </w:r>
    </w:p>
    <w:p>
      <w:pPr>
        <w:jc w:val="both"/>
      </w:pPr>
      <w:r>
        <w:rPr>
          <w:sz w:val="21"/>
        </w:rPr>
        <w:t>（一）定期自查自纠</w:t>
      </w:r>
    </w:p>
    <w:p>
      <w:pPr>
        <w:ind w:firstLine="420"/>
        <w:jc w:val="both"/>
      </w:pPr>
      <w:r>
        <w:rPr>
          <w:sz w:val="21"/>
        </w:rPr>
        <w:t>乙方作为项目工作质量的第一责任人，应该认真履行快检质量管理责任，每月针对</w:t>
      </w:r>
      <w:r>
        <w:rPr>
          <w:sz w:val="21"/>
        </w:rPr>
        <w:t>5</w:t>
      </w:r>
      <w:r>
        <w:rPr>
          <w:sz w:val="21"/>
        </w:rPr>
        <w:t>个镇街政府快检实验室（含</w:t>
      </w:r>
      <w:r>
        <w:rPr>
          <w:sz w:val="21"/>
        </w:rPr>
        <w:t>1</w:t>
      </w:r>
      <w:r>
        <w:rPr>
          <w:sz w:val="21"/>
        </w:rPr>
        <w:t>个批发市场驻场检测点）及</w:t>
      </w:r>
      <w:r>
        <w:rPr>
          <w:sz w:val="21"/>
        </w:rPr>
        <w:t>1</w:t>
      </w:r>
      <w:r>
        <w:rPr>
          <w:sz w:val="21"/>
        </w:rPr>
        <w:t>台移动检测车的快检任务完成情况、试剂购买存储与验收情况、抽样品种及覆盖率、不合格产品发现率、快检人员操作熟练程度及规范性、快检抽样和结果原始记录、检测结果上报及公示、实验室管理等认真开展自查自纠，制定并实行内部奖惩制度和措施。于每月</w:t>
      </w:r>
      <w:r>
        <w:rPr>
          <w:sz w:val="21"/>
        </w:rPr>
        <w:t>25</w:t>
      </w:r>
      <w:r>
        <w:rPr>
          <w:sz w:val="21"/>
        </w:rPr>
        <w:t>日前将检查及检查情况总结、原始检查记录表、现场检查图片等报送甲方。</w:t>
      </w:r>
    </w:p>
    <w:p>
      <w:pPr>
        <w:jc w:val="both"/>
      </w:pPr>
      <w:r>
        <w:rPr>
          <w:sz w:val="21"/>
        </w:rPr>
        <w:t>（二）日常监督检查</w:t>
      </w:r>
    </w:p>
    <w:p>
      <w:pPr>
        <w:ind w:firstLine="420"/>
        <w:jc w:val="both"/>
      </w:pPr>
      <w:r>
        <w:rPr>
          <w:sz w:val="21"/>
        </w:rPr>
        <w:t>佛山市顺德区各镇街市场监督管理所负责所在地镇街政府快检室日常运作的监督检查，每月至少对辖区政府快检室开展</w:t>
      </w:r>
      <w:r>
        <w:rPr>
          <w:sz w:val="21"/>
        </w:rPr>
        <w:t>1</w:t>
      </w:r>
      <w:r>
        <w:rPr>
          <w:sz w:val="21"/>
        </w:rPr>
        <w:t>次监督检查工作，并于每月</w:t>
      </w:r>
      <w:r>
        <w:rPr>
          <w:sz w:val="21"/>
        </w:rPr>
        <w:t>28</w:t>
      </w:r>
      <w:r>
        <w:rPr>
          <w:sz w:val="21"/>
        </w:rPr>
        <w:t>日前报送当月监督检查情况。甲方负责对移动检测车的运作情况开展监督检查。甲方及佛山市顺德区各镇街市场监督管理所根据工作两级分工，对照广东省市场监督管理局下发的《农贸市场食用农产品快检工作监督评价表》进行逐一检查，重点检查各政府快检实验室和移动检测车试剂产品采购和使用情况、快检任务完成情况、快检人员培训情况、快检数据原始记录及上传、不合格产品处理、检测结果公示等内容。</w:t>
      </w:r>
    </w:p>
    <w:p>
      <w:pPr>
        <w:jc w:val="both"/>
      </w:pPr>
      <w:r>
        <w:rPr>
          <w:sz w:val="21"/>
        </w:rPr>
        <w:t>（三）飞行检查考核</w:t>
      </w:r>
    </w:p>
    <w:p>
      <w:pPr>
        <w:ind w:firstLine="420"/>
        <w:jc w:val="both"/>
      </w:pPr>
      <w:r>
        <w:rPr>
          <w:sz w:val="21"/>
        </w:rPr>
        <w:t>甲方全年对所有参加快检市场至少检查</w:t>
      </w:r>
      <w:r>
        <w:rPr>
          <w:sz w:val="21"/>
        </w:rPr>
        <w:t>2</w:t>
      </w:r>
      <w:r>
        <w:rPr>
          <w:sz w:val="21"/>
        </w:rPr>
        <w:t>次并形成记录，重点围绕以下几个方面开展：使用的快检试剂是否经过评价且符合要求；快检试剂出入库台账及存储情况（包括名称、厂家、数量、批号、日期等）；快检任务量的完成情况</w:t>
      </w:r>
      <w:r>
        <w:rPr>
          <w:sz w:val="21"/>
        </w:rPr>
        <w:t>(</w:t>
      </w:r>
      <w:r>
        <w:rPr>
          <w:sz w:val="21"/>
        </w:rPr>
        <w:t>总任务量、水产品检测任务量、蔬菜胶体金法检测任务量、重点品种检测任务量等）；快检检测项目开展、快检检测设备及辅助设备的配备、快检抽样和结果原始记录、检测结果上报及公示和快检不合格样品的处理等情况；快检人员资质</w:t>
      </w:r>
      <w:r>
        <w:rPr>
          <w:sz w:val="21"/>
        </w:rPr>
        <w:t>(</w:t>
      </w:r>
      <w:r>
        <w:rPr>
          <w:sz w:val="21"/>
        </w:rPr>
        <w:t>快检人员是否经过培训考核和持证上岗</w:t>
      </w:r>
      <w:r>
        <w:rPr>
          <w:sz w:val="21"/>
        </w:rPr>
        <w:t>)</w:t>
      </w:r>
      <w:r>
        <w:rPr>
          <w:sz w:val="21"/>
        </w:rPr>
        <w:t>、配置情况等。</w:t>
      </w:r>
    </w:p>
    <w:p>
      <w:pPr>
        <w:jc w:val="both"/>
      </w:pPr>
      <w:r>
        <w:rPr>
          <w:sz w:val="21"/>
        </w:rPr>
        <w:t>（四）召开分析会议</w:t>
      </w:r>
    </w:p>
    <w:p>
      <w:pPr>
        <w:ind w:firstLine="420"/>
        <w:jc w:val="both"/>
      </w:pPr>
      <w:r>
        <w:rPr>
          <w:sz w:val="21"/>
        </w:rPr>
        <w:t>根据检查情况，</w:t>
      </w:r>
      <w:r>
        <w:rPr>
          <w:sz w:val="21"/>
        </w:rPr>
        <w:t>中标人</w:t>
      </w:r>
      <w:r>
        <w:rPr>
          <w:sz w:val="21"/>
        </w:rPr>
        <w:t>不定期组织召开快检质量分析会议，针对监督检查发现的问题，分析原因、制定措施、落实整改，进一步规范快检工作，提升快检工作质量和成效。</w:t>
      </w:r>
    </w:p>
    <w:p>
      <w:pPr>
        <w:jc w:val="both"/>
      </w:pPr>
      <w:r>
        <w:rPr>
          <w:b/>
          <w:sz w:val="21"/>
        </w:rPr>
        <w:t>十六、质量控制</w:t>
      </w:r>
    </w:p>
    <w:p>
      <w:pPr>
        <w:ind w:firstLine="420"/>
        <w:jc w:val="both"/>
      </w:pPr>
      <w:r>
        <w:rPr>
          <w:sz w:val="21"/>
        </w:rPr>
        <w:t>质量控制是得到准确快检结果的重要保障。快检实验客观存在一定的质量风险</w:t>
      </w:r>
      <w:r>
        <w:rPr>
          <w:sz w:val="21"/>
        </w:rPr>
        <w:t>，</w:t>
      </w:r>
      <w:r>
        <w:rPr>
          <w:sz w:val="21"/>
        </w:rPr>
        <w:t>某一环节的疏忽有可能导致结果不准确，检测质量无法保证，因此需要采取合适的质量控制手段以及时发现问题</w:t>
      </w:r>
      <w:r>
        <w:rPr>
          <w:sz w:val="21"/>
        </w:rPr>
        <w:t>，</w:t>
      </w:r>
      <w:r>
        <w:rPr>
          <w:sz w:val="21"/>
        </w:rPr>
        <w:t>保证结果的准确性。乙方需有完善的质量控制制度文件并制定相应的质控计划。规范实验室试剂、设备、样品管理，对快检产品进行验收，开展空白样</w:t>
      </w:r>
      <w:r>
        <w:rPr>
          <w:sz w:val="21"/>
        </w:rPr>
        <w:t>/</w:t>
      </w:r>
      <w:r>
        <w:rPr>
          <w:sz w:val="21"/>
        </w:rPr>
        <w:t>加标样的验证；规范原始记录填写；加强人员培训，强化快检人员质量控制意识；规范抽样及检测过程等。</w:t>
      </w:r>
    </w:p>
    <w:p>
      <w:pPr>
        <w:jc w:val="both"/>
      </w:pPr>
      <w:r>
        <w:rPr>
          <w:b/>
          <w:sz w:val="21"/>
        </w:rPr>
        <w:t>十七、应急服务响应</w:t>
      </w:r>
    </w:p>
    <w:p>
      <w:pPr>
        <w:jc w:val="both"/>
      </w:pPr>
      <w:r>
        <w:rPr>
          <w:sz w:val="21"/>
        </w:rPr>
        <w:t>（一）乙方应设置有专人</w:t>
      </w:r>
      <w:r>
        <w:rPr>
          <w:sz w:val="21"/>
        </w:rPr>
        <w:t>24</w:t>
      </w:r>
      <w:r>
        <w:rPr>
          <w:sz w:val="21"/>
        </w:rPr>
        <w:t>小时接听的移动电话热线，用于解决突发应急问题。</w:t>
      </w:r>
    </w:p>
    <w:p>
      <w:pPr>
        <w:jc w:val="both"/>
      </w:pPr>
      <w:r>
        <w:rPr>
          <w:sz w:val="21"/>
        </w:rPr>
        <w:t>（二）乙方必须承诺对突发性的食品安全事件提供应急抽样检验及专家技术支持，乙方具备的</w:t>
      </w:r>
      <w:r>
        <w:rPr>
          <w:sz w:val="21"/>
        </w:rPr>
        <w:t>CMA</w:t>
      </w:r>
      <w:r>
        <w:rPr>
          <w:sz w:val="21"/>
        </w:rPr>
        <w:t>资质尽可能多地覆盖国家市场监督管理总局发布的《市场监管总局关于</w:t>
      </w:r>
      <w:r>
        <w:rPr>
          <w:sz w:val="21"/>
        </w:rPr>
        <w:t>2023</w:t>
      </w:r>
      <w:r>
        <w:rPr>
          <w:sz w:val="21"/>
        </w:rPr>
        <w:t>年全国食品安全抽检监测计划的通知》（国市监食检发〔</w:t>
      </w:r>
      <w:r>
        <w:rPr>
          <w:sz w:val="21"/>
        </w:rPr>
        <w:t>2023</w:t>
      </w:r>
      <w:r>
        <w:rPr>
          <w:sz w:val="21"/>
        </w:rPr>
        <w:t>〕</w:t>
      </w:r>
      <w:r>
        <w:rPr>
          <w:sz w:val="21"/>
        </w:rPr>
        <w:t>3</w:t>
      </w:r>
      <w:r>
        <w:rPr>
          <w:sz w:val="21"/>
        </w:rPr>
        <w:t>号）中附件《</w:t>
      </w:r>
      <w:r>
        <w:rPr>
          <w:sz w:val="21"/>
        </w:rPr>
        <w:t>2023</w:t>
      </w:r>
      <w:r>
        <w:rPr>
          <w:sz w:val="21"/>
        </w:rPr>
        <w:t>年食品安全监督抽检品种、项目表》及《</w:t>
      </w:r>
      <w:r>
        <w:rPr>
          <w:sz w:val="21"/>
        </w:rPr>
        <w:t>2023</w:t>
      </w:r>
      <w:r>
        <w:rPr>
          <w:sz w:val="21"/>
        </w:rPr>
        <w:t>年食用农产品监督抽检品种、项目表》中的检测项目。</w:t>
      </w:r>
    </w:p>
    <w:p>
      <w:pPr>
        <w:jc w:val="both"/>
      </w:pPr>
      <w:r>
        <w:rPr>
          <w:sz w:val="21"/>
        </w:rPr>
        <w:t>（三）其他根据工作提出的服务技术要求：如食品安全宣传活动中的咨询、检测、宣讲等服务；新闻发布、</w:t>
      </w:r>
      <w:r>
        <w:rPr>
          <w:sz w:val="21"/>
        </w:rPr>
        <w:t>民众言论</w:t>
      </w:r>
      <w:r>
        <w:rPr>
          <w:sz w:val="21"/>
        </w:rPr>
        <w:t>应对、应急处置等相关工作的技术支持；安排专家接受咨询、参加研讨、提出建议等。</w:t>
      </w:r>
    </w:p>
    <w:p>
      <w:pPr>
        <w:jc w:val="both"/>
      </w:pPr>
    </w:p>
    <w:p>
      <w:pPr>
        <w:jc w:val="both"/>
      </w:pPr>
      <w:r>
        <w:rPr>
          <w:b/>
          <w:sz w:val="21"/>
        </w:rPr>
        <w:t>十八、服务要求</w:t>
      </w:r>
    </w:p>
    <w:p>
      <w:pPr>
        <w:jc w:val="both"/>
      </w:pPr>
      <w:r>
        <w:rPr>
          <w:sz w:val="21"/>
        </w:rPr>
        <w:t>乙方</w:t>
      </w:r>
      <w:r>
        <w:rPr>
          <w:sz w:val="21"/>
        </w:rPr>
        <w:t>应具备快速检测、食品安全抽检（如：监督抽检、风险监测、评价性抽检、专项抽检等类型）的能力。</w:t>
      </w:r>
    </w:p>
    <w:p>
      <w:pPr>
        <w:jc w:val="both"/>
      </w:pPr>
      <w:r>
        <w:rPr>
          <w:b/>
          <w:sz w:val="21"/>
        </w:rPr>
        <w:t>十九、</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9"/>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14"/>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容</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214"/>
            <w:tcBorders>
              <w:top w:val="none" w:color="000000" w:sz="4"/>
              <w:left w:val="none" w:color="000000" w:sz="4"/>
              <w:bottom w:val="single" w:color="000000" w:sz="4"/>
              <w:right w:val="single" w:color="000000" w:sz="4"/>
            </w:tcBorders>
            <w:vAlign w:val="top"/>
          </w:tcPr>
          <w:p>
            <w:pPr>
              <w:jc w:val="both"/>
            </w:pPr>
            <w:r>
              <w:rPr>
                <w:sz w:val="21"/>
              </w:rPr>
              <w:t>人民币</w:t>
            </w:r>
            <w:r>
              <w:rPr>
                <w:sz w:val="21"/>
              </w:rPr>
              <w:t>小写：</w:t>
            </w:r>
            <w:r>
              <w:rPr>
                <w:sz w:val="21"/>
                <w:u w:val="single"/>
              </w:rPr>
              <w:t xml:space="preserve">             </w:t>
            </w:r>
            <w:r>
              <w:rPr>
                <w:sz w:val="21"/>
              </w:rPr>
              <w:t>元；</w:t>
            </w:r>
          </w:p>
          <w:p>
            <w:pPr>
              <w:jc w:val="both"/>
            </w:pPr>
            <w:r>
              <w:rPr>
                <w:sz w:val="21"/>
              </w:rPr>
              <w:t>大写：</w:t>
            </w:r>
            <w:r>
              <w:rPr>
                <w:sz w:val="21"/>
                <w:u w:val="single"/>
              </w:rPr>
              <w:t xml:space="preserve">                       </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（一）合同总额为本项目广东省佛山市目的地交付价。</w:t>
            </w:r>
          </w:p>
          <w:p>
            <w:pPr>
              <w:jc w:val="both"/>
            </w:pPr>
            <w:r>
              <w:rPr>
                <w:sz w:val="21"/>
              </w:rPr>
              <w:t>（二）合同总额包括采样费用、购样费、检验费、邮寄费、复检费用和复查费用、车辆</w:t>
            </w:r>
            <w:r>
              <w:rPr>
                <w:sz w:val="21"/>
              </w:rPr>
              <w:t>（</w:t>
            </w:r>
            <w:r>
              <w:rPr>
                <w:sz w:val="21"/>
              </w:rPr>
              <w:t>如有</w:t>
            </w:r>
            <w:r>
              <w:rPr>
                <w:sz w:val="21"/>
              </w:rPr>
              <w:t>）</w:t>
            </w:r>
            <w:r>
              <w:rPr>
                <w:sz w:val="21"/>
              </w:rPr>
              <w:t>及相关检验设备购置费、试剂试纸耗</w:t>
            </w:r>
            <w:r>
              <w:rPr>
                <w:sz w:val="21"/>
              </w:rPr>
              <w:t>材</w:t>
            </w:r>
            <w:r>
              <w:rPr>
                <w:sz w:val="21"/>
              </w:rPr>
              <w:t>购买费</w:t>
            </w:r>
            <w:r>
              <w:rPr>
                <w:sz w:val="21"/>
              </w:rPr>
              <w:t>、场地租赁等费用、人工费、</w:t>
            </w:r>
            <w:r>
              <w:rPr>
                <w:sz w:val="21"/>
              </w:rPr>
              <w:t>数据分析费、</w:t>
            </w:r>
            <w:r>
              <w:rPr>
                <w:sz w:val="21"/>
              </w:rPr>
              <w:t>出具报告费用、保险费用、仓储费、快检实验室费用（租赁费、</w:t>
            </w:r>
            <w:r>
              <w:rPr>
                <w:sz w:val="21"/>
              </w:rPr>
              <w:t>辅助器具、冷藏冷冻设备、前处理设备、</w:t>
            </w:r>
            <w:r>
              <w:rPr>
                <w:sz w:val="21"/>
              </w:rPr>
              <w:t>办公室水电费、快检仪器设备费）运输费、商检费用、</w:t>
            </w:r>
            <w:r>
              <w:rPr>
                <w:sz w:val="21"/>
              </w:rPr>
              <w:t>验收费、</w:t>
            </w:r>
            <w:r>
              <w:rPr>
                <w:sz w:val="21"/>
              </w:rPr>
              <w:t>招标代理服务费、税费及不可预见费等完成本采购内容所需的一切费用</w:t>
            </w:r>
            <w:r>
              <w:rPr>
                <w:sz w:val="21"/>
              </w:rPr>
              <w:t>。</w:t>
            </w:r>
          </w:p>
          <w:p>
            <w:pPr>
              <w:jc w:val="both"/>
            </w:pPr>
            <w:r>
              <w:rPr>
                <w:sz w:val="21"/>
              </w:rPr>
              <w:t>（三）在合同执行的过程中，</w:t>
            </w:r>
            <w:r>
              <w:rPr>
                <w:sz w:val="21"/>
              </w:rPr>
              <w:t>甲方</w:t>
            </w:r>
            <w:r>
              <w:rPr>
                <w:sz w:val="21"/>
              </w:rPr>
              <w:t>将不再另行支付与本项目相关的任何费用。</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14"/>
            <w:tcBorders>
              <w:top w:val="none" w:color="000000" w:sz="4"/>
              <w:left w:val="none" w:color="000000" w:sz="4"/>
              <w:bottom w:val="single" w:color="000000" w:sz="4"/>
              <w:right w:val="single" w:color="000000" w:sz="4"/>
            </w:tcBorders>
            <w:vAlign w:val="top"/>
          </w:tcPr>
          <w:p>
            <w:pPr>
              <w:jc w:val="left"/>
            </w:pPr>
            <w:r>
              <w:rPr>
                <w:sz w:val="21"/>
              </w:rPr>
              <w:t>甲方（用户）指定地点。详细地址为：</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214"/>
            <w:tcBorders>
              <w:top w:val="none" w:color="000000" w:sz="4"/>
              <w:left w:val="none" w:color="000000" w:sz="4"/>
              <w:bottom w:val="single" w:color="000000" w:sz="4"/>
              <w:right w:val="single" w:color="000000" w:sz="4"/>
            </w:tcBorders>
            <w:vAlign w:val="top"/>
          </w:tcPr>
          <w:p>
            <w:pPr>
              <w:jc w:val="left"/>
            </w:pPr>
            <w:r>
              <w:rPr>
                <w:sz w:val="21"/>
              </w:rPr>
              <w:t>服务期一年，具体起止时间：自</w:t>
            </w:r>
            <w:r>
              <w:rPr>
                <w:sz w:val="21"/>
              </w:rPr>
              <w:t>2024</w:t>
            </w:r>
            <w:r>
              <w:rPr>
                <w:sz w:val="21"/>
              </w:rPr>
              <w:t>年</w:t>
            </w:r>
            <w:r>
              <w:rPr>
                <w:sz w:val="21"/>
              </w:rPr>
              <w:t>3</w:t>
            </w:r>
            <w:r>
              <w:rPr>
                <w:sz w:val="21"/>
              </w:rPr>
              <w:t>月</w:t>
            </w:r>
            <w:r>
              <w:rPr>
                <w:sz w:val="21"/>
              </w:rPr>
              <w:t xml:space="preserve">  </w:t>
            </w:r>
            <w:r>
              <w:rPr>
                <w:sz w:val="21"/>
              </w:rPr>
              <w:t>日</w:t>
            </w:r>
            <w:r>
              <w:rPr>
                <w:sz w:val="21"/>
              </w:rPr>
              <w:t>至</w:t>
            </w:r>
            <w:r>
              <w:rPr>
                <w:sz w:val="21"/>
              </w:rPr>
              <w:t>2025</w:t>
            </w:r>
            <w:r>
              <w:rPr>
                <w:sz w:val="21"/>
              </w:rPr>
              <w:t>年</w:t>
            </w:r>
            <w:r>
              <w:rPr>
                <w:sz w:val="21"/>
              </w:rPr>
              <w:t>2</w:t>
            </w:r>
            <w:r>
              <w:rPr>
                <w:sz w:val="21"/>
              </w:rPr>
              <w:t>月</w:t>
            </w:r>
            <w:r>
              <w:rPr>
                <w:sz w:val="21"/>
              </w:rPr>
              <w:t xml:space="preserve">  </w:t>
            </w:r>
            <w:r>
              <w:rPr>
                <w:sz w:val="21"/>
              </w:rPr>
              <w:t>日止</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662"/>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（一）合同签订生效后</w:t>
            </w:r>
            <w:r>
              <w:rPr>
                <w:sz w:val="21"/>
              </w:rPr>
              <w:t>5</w:t>
            </w:r>
            <w:r>
              <w:rPr>
                <w:sz w:val="21"/>
              </w:rPr>
              <w:t>个日历日内</w:t>
            </w:r>
            <w:r>
              <w:rPr>
                <w:sz w:val="21"/>
              </w:rPr>
              <w:t>，</w:t>
            </w:r>
            <w:r>
              <w:rPr>
                <w:sz w:val="21"/>
              </w:rPr>
              <w:t>甲方</w:t>
            </w:r>
            <w:r>
              <w:rPr>
                <w:sz w:val="21"/>
              </w:rPr>
              <w:t>向</w:t>
            </w:r>
            <w:r>
              <w:rPr>
                <w:sz w:val="21"/>
              </w:rPr>
              <w:t>乙方</w:t>
            </w:r>
            <w:r>
              <w:rPr>
                <w:sz w:val="21"/>
              </w:rPr>
              <w:t>支付合同总额的</w:t>
            </w:r>
            <w:r>
              <w:rPr>
                <w:sz w:val="21"/>
              </w:rPr>
              <w:t>87.89</w:t>
            </w:r>
            <w:r>
              <w:rPr>
                <w:sz w:val="21"/>
              </w:rPr>
              <w:t>%</w:t>
            </w:r>
            <w:r>
              <w:rPr>
                <w:sz w:val="21"/>
              </w:rPr>
              <w:t>作为预付款。</w:t>
            </w:r>
          </w:p>
          <w:p>
            <w:pPr>
              <w:jc w:val="both"/>
            </w:pPr>
            <w:r>
              <w:rPr>
                <w:sz w:val="21"/>
              </w:rPr>
              <w:t>（二）</w:t>
            </w:r>
            <w:r>
              <w:rPr>
                <w:sz w:val="21"/>
              </w:rPr>
              <w:t>整个项目全部完成经验收合格之日起</w:t>
            </w:r>
            <w:r>
              <w:rPr>
                <w:sz w:val="21"/>
              </w:rPr>
              <w:t>5</w:t>
            </w:r>
            <w:r>
              <w:rPr>
                <w:sz w:val="21"/>
              </w:rPr>
              <w:t>个日历日内</w:t>
            </w:r>
            <w:r>
              <w:rPr>
                <w:sz w:val="21"/>
              </w:rPr>
              <w:t>，</w:t>
            </w:r>
            <w:r>
              <w:rPr>
                <w:sz w:val="21"/>
              </w:rPr>
              <w:t>甲方</w:t>
            </w:r>
            <w:r>
              <w:rPr>
                <w:sz w:val="21"/>
              </w:rPr>
              <w:t>向</w:t>
            </w:r>
            <w:r>
              <w:rPr>
                <w:sz w:val="21"/>
              </w:rPr>
              <w:t>乙方</w:t>
            </w:r>
            <w:r>
              <w:rPr>
                <w:sz w:val="21"/>
              </w:rPr>
              <w:t>支付合同总额的</w:t>
            </w:r>
            <w:r>
              <w:rPr>
                <w:sz w:val="21"/>
              </w:rPr>
              <w:t>12.11</w:t>
            </w:r>
            <w:r>
              <w:rPr>
                <w:sz w:val="21"/>
              </w:rPr>
              <w:t>%</w:t>
            </w:r>
            <w:r>
              <w:rPr>
                <w:sz w:val="21"/>
              </w:rPr>
              <w:t>。</w:t>
            </w:r>
          </w:p>
        </w:tc>
      </w:tr>
      <w:tr>
        <w:tc>
          <w:tcPr>
            <w:tcW w:type="dxa" w:w="662"/>
            <w:tcBorders>
              <w:top w:val="none" w:color="000000" w:sz="4"/>
              <w:left w:val="single" w:color="000000" w:sz="4"/>
              <w:bottom w:val="single" w:color="000000" w:sz="4"/>
              <w:right w:val="single" w:color="000000" w:sz="4"/>
            </w:tcBorders>
            <w:vAlign w:val="top"/>
          </w:tcPr>
          <w:p>
            <w:pPr>
              <w:jc w:val="center"/>
            </w:pPr>
          </w:p>
        </w:tc>
        <w:tc>
          <w:tcPr>
            <w:tcW w:type="dxa" w:w="1429"/>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（一）甲方支付每笔款项时，乙方应提供相应金额的正式发票（收款方、出具发票方和合同乙方均必须与中标人名称一致）。</w:t>
            </w:r>
          </w:p>
          <w:p>
            <w:pPr>
              <w:jc w:val="both"/>
            </w:pPr>
            <w:r>
              <w:rPr>
                <w:sz w:val="21"/>
              </w:rPr>
              <w:t>（二）付款方式：采用支票、银行汇付（含电汇）等形式。</w:t>
            </w:r>
          </w:p>
          <w:p>
            <w:pPr>
              <w:jc w:val="both"/>
            </w:pPr>
            <w:r>
              <w:rPr>
                <w:sz w:val="21"/>
              </w:rPr>
              <w:t>（三）因甲方使用的是财政资金，上述支付时间是指甲方向政府支付部门提出办理财政支付申请手续的时间，不含政府财政支付部门审核的时间。因政府财政支付审批流程及办理手续造成支付进度有所推延，而导致甲方逾期付款的，甲方不承担逾期付款违约责任。</w:t>
            </w:r>
          </w:p>
          <w:p>
            <w:pPr>
              <w:jc w:val="both"/>
            </w:pPr>
            <w:r>
              <w:rPr>
                <w:sz w:val="21"/>
              </w:rPr>
              <w:t>（四）付款期间如因特殊情况需调整，由双方协商处理。</w:t>
            </w:r>
          </w:p>
        </w:tc>
      </w:tr>
    </w:tbl>
    <w:p>
      <w:pPr>
        <w:jc w:val="both"/>
      </w:pPr>
      <w:r>
        <w:rPr>
          <w:b/>
          <w:sz w:val="21"/>
        </w:rPr>
        <w:t>二十、人员管理</w:t>
      </w:r>
    </w:p>
    <w:p>
      <w:pPr>
        <w:jc w:val="both"/>
      </w:pPr>
      <w:r>
        <w:rPr>
          <w:sz w:val="21"/>
        </w:rPr>
        <w:t>（一）为保障快检工作高质量开展，乙方需指定</w:t>
      </w:r>
      <w:r>
        <w:rPr>
          <w:sz w:val="21"/>
        </w:rPr>
        <w:t>1</w:t>
      </w:r>
      <w:r>
        <w:rPr>
          <w:sz w:val="21"/>
        </w:rPr>
        <w:t>名本采购项目专职负责人（不得由检测人员兼任，必要时可提供现场服务）全面统筹跟进本项目的监督管理工作，专职项目负责人须熟知食品安全国家标准、行业标准，掌握质量控制要求、实验室安全与防护知识等，并具备对食品安全有害因素进行安全评价以及对检测人员出具的检测数据进行分析的能力。</w:t>
      </w:r>
    </w:p>
    <w:p>
      <w:pPr>
        <w:jc w:val="both"/>
      </w:pPr>
      <w:r>
        <w:rPr>
          <w:sz w:val="21"/>
        </w:rPr>
        <w:t>（二）拟投入的项目团队成员（专职项目负责人除外）不少于</w:t>
      </w:r>
      <w:r>
        <w:rPr>
          <w:sz w:val="21"/>
        </w:rPr>
        <w:t>18</w:t>
      </w:r>
      <w:r>
        <w:rPr>
          <w:sz w:val="21"/>
        </w:rPr>
        <w:t>人，应包含至少</w:t>
      </w:r>
      <w:r>
        <w:rPr>
          <w:sz w:val="21"/>
        </w:rPr>
        <w:t>2</w:t>
      </w:r>
      <w:r>
        <w:rPr>
          <w:sz w:val="21"/>
        </w:rPr>
        <w:t>名高级职称人员，全面管理指导快速检测工作，确保严格按规范要求开展快检工作。同时，包含区级或以上食药监管理部门食品安全技术专家，提供汇总分析、食品安全趋势分析及改善建议。项目团队成员中须指派不少于</w:t>
      </w:r>
      <w:r>
        <w:rPr>
          <w:sz w:val="21"/>
        </w:rPr>
        <w:t>2</w:t>
      </w:r>
      <w:r>
        <w:rPr>
          <w:sz w:val="21"/>
        </w:rPr>
        <w:t>名专业快检人员作为工作人员负责开展重大活动餐饮服务食品安全现场驻点保障或巡查保障（包括现场培训、指导监督、检测、采样、记录），对可疑食品和高风险食品、重点食品及原料等进行抽样和快速检测等工作，将检测结果第一时间通知甲方，如检出可疑阳性样品，立即报告并配合甲方将可疑样品送具有</w:t>
      </w:r>
      <w:r>
        <w:rPr>
          <w:sz w:val="21"/>
        </w:rPr>
        <w:t>检测</w:t>
      </w:r>
      <w:r>
        <w:rPr>
          <w:sz w:val="21"/>
        </w:rPr>
        <w:t>资质的实验室进行定量检测，并辅助做好食品安全监管有关工作。在重大活动结束后，做好重大活动相关信息的收集汇总，撰写工作总结，按时间顺序汇总抽样检测情况信息，建立重大活动抽样检测记录档案。</w:t>
      </w:r>
    </w:p>
    <w:p>
      <w:pPr>
        <w:jc w:val="both"/>
      </w:pPr>
      <w:r>
        <w:rPr>
          <w:sz w:val="21"/>
        </w:rPr>
        <w:t>（三）项目团队成员应熟练掌握农产品质量安全快速检测技术要求，并持有效证件上岗。</w:t>
      </w:r>
    </w:p>
    <w:p>
      <w:pPr>
        <w:jc w:val="both"/>
      </w:pPr>
      <w:r>
        <w:rPr>
          <w:sz w:val="21"/>
        </w:rPr>
        <w:t>（四）乙方须按其投标文件中承诺提供的项目组人员必须按要求投入到本项目中，并在合同签订后</w:t>
      </w:r>
      <w:r>
        <w:rPr>
          <w:sz w:val="21"/>
        </w:rPr>
        <w:t>10</w:t>
      </w:r>
      <w:r>
        <w:rPr>
          <w:sz w:val="21"/>
        </w:rPr>
        <w:t>个工作日内将人员的资料（包括但不限于身份证明、工作简历、培训记录、考核记录、上岗资格证书、聘任证明等）提交给甲方备案，在合同期内不得擅自更换并定期参加培训和考核。如无特殊原因原则上不能中途变更人员，确需变更人员的需经甲方书面同意。人员离开后，需在</w:t>
      </w:r>
      <w:r>
        <w:rPr>
          <w:sz w:val="21"/>
        </w:rPr>
        <w:t>7</w:t>
      </w:r>
      <w:r>
        <w:rPr>
          <w:sz w:val="21"/>
        </w:rPr>
        <w:t>天内作出补充。</w:t>
      </w:r>
    </w:p>
    <w:p>
      <w:pPr>
        <w:jc w:val="both"/>
      </w:pPr>
      <w:r>
        <w:rPr>
          <w:sz w:val="21"/>
        </w:rPr>
        <w:t>（五）甲方有权以书面形式要求乙方更换不能按规定履行合同的人员。即使是甲方要求或同意更换的人员，其代替人员的资质仍应得到甲方的认可，且其资历和经验均不低于被更换人员。由此而产生的费用由乙方承担。</w:t>
      </w:r>
    </w:p>
    <w:p>
      <w:pPr>
        <w:jc w:val="both"/>
      </w:pPr>
      <w:r>
        <w:rPr>
          <w:sz w:val="21"/>
        </w:rPr>
        <w:t>（六）如乙方未经甲方书面同意擅自更换项目组人员，甲方有权扣除合同总额的</w:t>
      </w:r>
      <w:r>
        <w:rPr>
          <w:sz w:val="21"/>
        </w:rPr>
        <w:t>10%</w:t>
      </w:r>
      <w:r>
        <w:rPr>
          <w:sz w:val="21"/>
        </w:rPr>
        <w:t>作为违约金。发生本条上述情况累计达</w:t>
      </w:r>
      <w:r>
        <w:rPr>
          <w:sz w:val="21"/>
        </w:rPr>
        <w:t>4</w:t>
      </w:r>
      <w:r>
        <w:rPr>
          <w:sz w:val="21"/>
        </w:rPr>
        <w:t>次后，甲方有权终止合同，由此引致的经济损失，乙方须全额赔偿，甲方保留追究乙方相关责任的权利。</w:t>
      </w:r>
    </w:p>
    <w:p>
      <w:pPr>
        <w:jc w:val="both"/>
      </w:pPr>
      <w:r>
        <w:rPr>
          <w:sz w:val="21"/>
        </w:rPr>
        <w:t>（七）乙方对其雇员的人身安全负全部责任，在服务期间，乙方商须承担项目服务人员的社会保险、意外责任、工伤责任和所有服务风险。与项目服务人员发生的一切劳务纠纷，由乙方负责。</w:t>
      </w:r>
    </w:p>
    <w:p>
      <w:pPr>
        <w:jc w:val="both"/>
      </w:pPr>
      <w:r>
        <w:rPr>
          <w:b/>
          <w:sz w:val="21"/>
        </w:rPr>
        <w:t>二十一、保密要求</w:t>
      </w:r>
    </w:p>
    <w:p>
      <w:pPr>
        <w:ind w:firstLine="420"/>
        <w:jc w:val="both"/>
      </w:pPr>
      <w:r>
        <w:rPr>
          <w:sz w:val="21"/>
        </w:rPr>
        <w:t>任何一方应保证其工作人员或相关人员会对本项目的条款严格保密。乙方有义务对甲方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乙方因违反本条保密义务，给甲方造成的损失的，须进行赔偿。该保密义务不因合同终止而终止，双方须严格保密至相关信息已向大众公开为止。</w:t>
      </w:r>
    </w:p>
    <w:p>
      <w:pPr>
        <w:jc w:val="both"/>
      </w:pPr>
      <w:r>
        <w:rPr>
          <w:b/>
          <w:sz w:val="21"/>
        </w:rPr>
        <w:t>二十二、成果归属</w:t>
      </w:r>
    </w:p>
    <w:p>
      <w:pPr>
        <w:jc w:val="left"/>
      </w:pPr>
      <w:r>
        <w:rPr>
          <w:sz w:val="21"/>
        </w:rPr>
        <w:t>（一）</w:t>
      </w:r>
      <w:r>
        <w:rPr>
          <w:sz w:val="21"/>
        </w:rPr>
        <w:t>本项目的所有成果著作权等知识产权和所有权益归</w:t>
      </w:r>
      <w:r>
        <w:rPr>
          <w:sz w:val="21"/>
        </w:rPr>
        <w:t>甲方</w:t>
      </w:r>
      <w:r>
        <w:rPr>
          <w:sz w:val="21"/>
        </w:rPr>
        <w:t>所有。未经</w:t>
      </w:r>
      <w:r>
        <w:rPr>
          <w:sz w:val="21"/>
        </w:rPr>
        <w:t>甲方</w:t>
      </w:r>
      <w:r>
        <w:rPr>
          <w:sz w:val="21"/>
        </w:rPr>
        <w:t>书面同意，</w:t>
      </w:r>
      <w:r>
        <w:rPr>
          <w:sz w:val="21"/>
        </w:rPr>
        <w:t>乙方</w:t>
      </w:r>
      <w:r>
        <w:rPr>
          <w:sz w:val="21"/>
        </w:rPr>
        <w:t>不得引用、发表和向第三者提供。</w:t>
      </w:r>
    </w:p>
    <w:p>
      <w:pPr>
        <w:jc w:val="left"/>
      </w:pPr>
      <w:r>
        <w:rPr>
          <w:sz w:val="21"/>
        </w:rPr>
        <w:t>（二）甲方</w:t>
      </w:r>
      <w:r>
        <w:rPr>
          <w:sz w:val="21"/>
        </w:rPr>
        <w:t>引用</w:t>
      </w:r>
      <w:r>
        <w:rPr>
          <w:sz w:val="21"/>
        </w:rPr>
        <w:t>乙方</w:t>
      </w:r>
      <w:r>
        <w:rPr>
          <w:sz w:val="21"/>
        </w:rPr>
        <w:t>的工作成果所完成的新的技术成果，属于</w:t>
      </w:r>
      <w:r>
        <w:rPr>
          <w:sz w:val="21"/>
        </w:rPr>
        <w:t>甲方</w:t>
      </w:r>
      <w:r>
        <w:rPr>
          <w:sz w:val="21"/>
        </w:rPr>
        <w:t>所有，</w:t>
      </w:r>
      <w:r>
        <w:rPr>
          <w:sz w:val="21"/>
        </w:rPr>
        <w:t>甲方</w:t>
      </w:r>
      <w:r>
        <w:rPr>
          <w:sz w:val="21"/>
        </w:rPr>
        <w:t>可依法享有就该项技术成果取得的精神权利、经济权利和其他权利。</w:t>
      </w:r>
    </w:p>
    <w:p>
      <w:pPr>
        <w:jc w:val="both"/>
      </w:pPr>
      <w:r>
        <w:rPr>
          <w:sz w:val="21"/>
        </w:rPr>
        <w:t>（三）</w:t>
      </w:r>
      <w:r>
        <w:rPr>
          <w:sz w:val="21"/>
        </w:rPr>
        <w:t>无论发生不限于合同何种情形（包括但提前终止或解除），</w:t>
      </w:r>
      <w:r>
        <w:rPr>
          <w:sz w:val="21"/>
        </w:rPr>
        <w:t>甲方</w:t>
      </w:r>
      <w:r>
        <w:rPr>
          <w:sz w:val="21"/>
        </w:rPr>
        <w:t>均有权利用</w:t>
      </w:r>
      <w:r>
        <w:rPr>
          <w:sz w:val="21"/>
        </w:rPr>
        <w:t>乙方</w:t>
      </w:r>
      <w:r>
        <w:rPr>
          <w:sz w:val="21"/>
        </w:rPr>
        <w:t>的阶段性工作成果，并且</w:t>
      </w:r>
      <w:r>
        <w:rPr>
          <w:sz w:val="21"/>
        </w:rPr>
        <w:t>甲方</w:t>
      </w:r>
      <w:r>
        <w:rPr>
          <w:sz w:val="21"/>
        </w:rPr>
        <w:t>引用</w:t>
      </w:r>
      <w:r>
        <w:rPr>
          <w:sz w:val="21"/>
        </w:rPr>
        <w:t>乙方</w:t>
      </w:r>
      <w:r>
        <w:rPr>
          <w:sz w:val="21"/>
        </w:rPr>
        <w:t>的阶段性工作成果所完成的新的技术成果，属于</w:t>
      </w:r>
      <w:r>
        <w:rPr>
          <w:sz w:val="21"/>
        </w:rPr>
        <w:t>甲方</w:t>
      </w:r>
      <w:r>
        <w:rPr>
          <w:sz w:val="21"/>
        </w:rPr>
        <w:t>所有，</w:t>
      </w:r>
      <w:r>
        <w:rPr>
          <w:sz w:val="21"/>
        </w:rPr>
        <w:t>甲方</w:t>
      </w:r>
      <w:r>
        <w:rPr>
          <w:sz w:val="21"/>
        </w:rPr>
        <w:t>可依法享有就该项技术成果取得的精神权利、经济权利和其他权利。</w:t>
      </w:r>
    </w:p>
    <w:p>
      <w:pPr>
        <w:jc w:val="both"/>
      </w:pPr>
      <w:r>
        <w:rPr>
          <w:b/>
          <w:sz w:val="21"/>
        </w:rPr>
        <w:t>二十三、违约责任</w:t>
      </w:r>
    </w:p>
    <w:p>
      <w:pPr>
        <w:jc w:val="left"/>
      </w:pPr>
      <w:r>
        <w:rPr>
          <w:sz w:val="21"/>
        </w:rPr>
        <w:t>（一）乙方提供的服务不符合以下情形的，甲方有权拒收，并且乙方须向甲方支付合同总额</w:t>
      </w:r>
      <w:r>
        <w:rPr>
          <w:sz w:val="21"/>
        </w:rPr>
        <w:t>5%</w:t>
      </w:r>
      <w:r>
        <w:rPr>
          <w:sz w:val="21"/>
        </w:rPr>
        <w:t>的违约金。</w:t>
      </w:r>
    </w:p>
    <w:p>
      <w:pPr>
        <w:jc w:val="left"/>
      </w:pPr>
      <w:r>
        <w:rPr>
          <w:sz w:val="21"/>
        </w:rPr>
        <w:t>1</w:t>
      </w:r>
      <w:r>
        <w:rPr>
          <w:sz w:val="21"/>
        </w:rPr>
        <w:t>、乙方未按照合同、招标文件、投标文件以及省、市市场监督管理部门快检相关文件最新规定，按时按质按量完成甲方采购的食用农产品快速检测任务。乙方在合同履行期限内完成的食用农产品快检批次数量未达到约定检测任务批次数量。</w:t>
      </w:r>
    </w:p>
    <w:p>
      <w:pPr>
        <w:jc w:val="left"/>
      </w:pPr>
      <w:r>
        <w:rPr>
          <w:sz w:val="21"/>
        </w:rPr>
        <w:t>2</w:t>
      </w:r>
      <w:r>
        <w:rPr>
          <w:sz w:val="21"/>
        </w:rPr>
        <w:t>、乙方未按照约定配备符合要求的检测人员、项目负责人的，或因上述人员流动性过大、工作能力不足等原因影响到采购项目开展及工作质量。</w:t>
      </w:r>
    </w:p>
    <w:p>
      <w:pPr>
        <w:jc w:val="left"/>
      </w:pPr>
      <w:r>
        <w:rPr>
          <w:sz w:val="21"/>
        </w:rPr>
        <w:t>3</w:t>
      </w:r>
      <w:r>
        <w:rPr>
          <w:sz w:val="21"/>
        </w:rPr>
        <w:t>、乙方在项目服务期间的快检阳性总体发现率低于</w:t>
      </w:r>
      <w:r>
        <w:rPr>
          <w:sz w:val="21"/>
        </w:rPr>
        <w:t>1.5%</w:t>
      </w:r>
      <w:r>
        <w:rPr>
          <w:sz w:val="21"/>
        </w:rPr>
        <w:t>。</w:t>
      </w:r>
    </w:p>
    <w:p>
      <w:pPr>
        <w:jc w:val="left"/>
      </w:pPr>
      <w:r>
        <w:rPr>
          <w:sz w:val="21"/>
        </w:rPr>
        <w:t>4</w:t>
      </w:r>
      <w:r>
        <w:rPr>
          <w:sz w:val="21"/>
        </w:rPr>
        <w:t>、乙方对自查和各级市监部门监督检查发现的问题，应及时进行整改，举一反三，全面排查存在问题。乙方拒不整改或整改不力、出现反复，经甲方约谈后仍然整改不到位。</w:t>
      </w:r>
    </w:p>
    <w:p>
      <w:pPr>
        <w:jc w:val="left"/>
      </w:pPr>
      <w:r>
        <w:rPr>
          <w:sz w:val="21"/>
        </w:rPr>
        <w:t>5</w:t>
      </w:r>
      <w:r>
        <w:rPr>
          <w:sz w:val="21"/>
        </w:rPr>
        <w:t>、乙方提供的服务不符合合同、招标文件、投标文件以及省、市市场监督管理部门快检相关文件规定的其他情形。</w:t>
      </w:r>
    </w:p>
    <w:p>
      <w:pPr>
        <w:jc w:val="left"/>
      </w:pPr>
      <w:r>
        <w:rPr>
          <w:sz w:val="21"/>
        </w:rPr>
        <w:t>注：合同、招标文件、投标文件以及省、市市场监督管理部门快检相关文件规定存在冲突的，以要求较高者为适用标准。</w:t>
      </w:r>
    </w:p>
    <w:p>
      <w:pPr>
        <w:jc w:val="left"/>
      </w:pPr>
      <w:r>
        <w:rPr>
          <w:sz w:val="21"/>
        </w:rPr>
        <w:t>（二）乙方应确保检测数据的真实性、可溯性和准确性，乙方对检测数据、原始记录等存在造假行为的，甲方有权解除合同，乙方应退还甲方已经支付的款项并承担合同总金额</w:t>
      </w:r>
      <w:r>
        <w:rPr>
          <w:sz w:val="21"/>
        </w:rPr>
        <w:t>10%</w:t>
      </w:r>
      <w:r>
        <w:rPr>
          <w:sz w:val="21"/>
        </w:rPr>
        <w:t>的违约金，违约金不足以弥补对甲方造成的损失的，乙方还需支付甲方损失赔偿。</w:t>
      </w:r>
    </w:p>
    <w:p>
      <w:pPr>
        <w:jc w:val="left"/>
      </w:pPr>
      <w:r>
        <w:rPr>
          <w:sz w:val="21"/>
        </w:rPr>
        <w:t>（三）乙方未能按规定的时间提供服务，从逾期之日起每日按合同总额</w:t>
      </w:r>
      <w:r>
        <w:rPr>
          <w:sz w:val="21"/>
        </w:rPr>
        <w:t>3</w:t>
      </w:r>
      <w:r>
        <w:rPr>
          <w:sz w:val="21"/>
        </w:rPr>
        <w:t>‰的数额向甲方支付违约金；逾期</w:t>
      </w:r>
      <w:r>
        <w:rPr>
          <w:sz w:val="21"/>
        </w:rPr>
        <w:t>15</w:t>
      </w:r>
      <w:r>
        <w:rPr>
          <w:sz w:val="21"/>
        </w:rPr>
        <w:t>天以上的，甲方有权终止合同，由此造成的甲方经济损失由乙方承担。</w:t>
      </w:r>
    </w:p>
    <w:p>
      <w:pPr>
        <w:jc w:val="left"/>
      </w:pPr>
      <w:r>
        <w:rPr>
          <w:sz w:val="21"/>
        </w:rPr>
        <w:t>（四）甲方无正当理由拒绝接受服务，到期拒付服务款项的，甲方向乙方偿付合同总额</w:t>
      </w:r>
      <w:r>
        <w:rPr>
          <w:sz w:val="21"/>
        </w:rPr>
        <w:t>5%</w:t>
      </w:r>
      <w:r>
        <w:rPr>
          <w:sz w:val="21"/>
        </w:rPr>
        <w:t>的违约金。</w:t>
      </w:r>
    </w:p>
    <w:p>
      <w:pPr>
        <w:jc w:val="left"/>
      </w:pPr>
      <w:r>
        <w:rPr>
          <w:sz w:val="21"/>
        </w:rPr>
        <w:t>（五）乙方将本项目转包或分包的，甲方有权终止合同，由此造成的甲方经济损失由乙方承担。</w:t>
      </w:r>
    </w:p>
    <w:p>
      <w:pPr>
        <w:jc w:val="both"/>
      </w:pPr>
      <w:r>
        <w:rPr>
          <w:sz w:val="21"/>
        </w:rPr>
        <w:t>（六）其它违约责任按《中华人民共和国民法典》处理。</w:t>
      </w:r>
    </w:p>
    <w:p>
      <w:pPr>
        <w:jc w:val="both"/>
      </w:pPr>
      <w:r>
        <w:rPr>
          <w:b/>
          <w:sz w:val="21"/>
        </w:rPr>
        <w:t>二十四、其他要求</w:t>
      </w:r>
    </w:p>
    <w:p>
      <w:pPr>
        <w:jc w:val="left"/>
      </w:pPr>
      <w:r>
        <w:rPr>
          <w:sz w:val="21"/>
        </w:rPr>
        <w:t>（一）乙方在完成本采购项目过程中产生的所有纠纷（包括但不限于劳动纠纷、合同纠纷等），由乙方负责处理，与甲方无关，因处理纠纷产生的全部费用由乙方承担。</w:t>
      </w:r>
    </w:p>
    <w:p>
      <w:pPr>
        <w:jc w:val="both"/>
      </w:pPr>
      <w:r>
        <w:rPr>
          <w:sz w:val="21"/>
        </w:rPr>
        <w:t>（二）目前</w:t>
      </w:r>
      <w:r>
        <w:rPr>
          <w:sz w:val="21"/>
        </w:rPr>
        <w:t>5</w:t>
      </w:r>
      <w:r>
        <w:rPr>
          <w:sz w:val="21"/>
        </w:rPr>
        <w:t>个政府快检室（含</w:t>
      </w:r>
      <w:r>
        <w:rPr>
          <w:sz w:val="21"/>
        </w:rPr>
        <w:t>1</w:t>
      </w:r>
      <w:r>
        <w:rPr>
          <w:sz w:val="21"/>
        </w:rPr>
        <w:t>个批发市场驻场检测点）</w:t>
      </w:r>
      <w:r>
        <w:rPr>
          <w:sz w:val="21"/>
        </w:rPr>
        <w:t>和</w:t>
      </w:r>
      <w:r>
        <w:rPr>
          <w:sz w:val="21"/>
        </w:rPr>
        <w:t>1</w:t>
      </w:r>
      <w:r>
        <w:rPr>
          <w:sz w:val="21"/>
        </w:rPr>
        <w:t>台移动检测车均已配备了相应的设备，但如设备数量不足或者设备不符合要求时，需乙方提供相关设备，相关费用包含在合同总额中。</w:t>
      </w:r>
    </w:p>
    <w:p>
      <w:pPr>
        <w:jc w:val="both"/>
      </w:pPr>
      <w:r>
        <w:rPr>
          <w:b/>
          <w:sz w:val="21"/>
        </w:rPr>
        <w:t>二十五、验收要求</w:t>
      </w:r>
    </w:p>
    <w:p>
      <w:pPr>
        <w:jc w:val="both"/>
      </w:pPr>
      <w:r>
        <w:rPr>
          <w:sz w:val="21"/>
        </w:rPr>
        <w:t>（一）</w:t>
      </w:r>
      <w:r>
        <w:rPr>
          <w:sz w:val="21"/>
        </w:rPr>
        <w:t>由</w:t>
      </w:r>
      <w:r>
        <w:rPr>
          <w:sz w:val="21"/>
        </w:rPr>
        <w:t>甲方委托第三方机构组织专家进行考核验收，相关费用包含在合同价内</w:t>
      </w:r>
      <w:r>
        <w:rPr>
          <w:sz w:val="21"/>
        </w:rPr>
        <w:t>。</w:t>
      </w:r>
    </w:p>
    <w:p>
      <w:pPr>
        <w:jc w:val="both"/>
      </w:pPr>
      <w:r>
        <w:rPr>
          <w:sz w:val="21"/>
        </w:rPr>
        <w:t>（二）</w:t>
      </w:r>
      <w:r>
        <w:rPr>
          <w:sz w:val="21"/>
        </w:rPr>
        <w:t>验收标准：项目采购合同约定事项履约到位，主要包括</w:t>
      </w:r>
      <w:r>
        <w:rPr>
          <w:sz w:val="21"/>
        </w:rPr>
        <w:t>100%</w:t>
      </w:r>
      <w:r>
        <w:rPr>
          <w:sz w:val="21"/>
        </w:rPr>
        <w:t>完成采样及检测服务（抽样、检测、记录、结果公示、不合格发现率、不合格产品处理、跟踪抽检、数据比对分析和监督抽检等），实验室运营管理规范（制度、设备设施、人员、试剂及标准物质等），日常监督管理（每月全覆盖检查、质量分析会议、分析报告等）落实到位等。</w:t>
      </w:r>
    </w:p>
    <w:p>
      <w:pPr>
        <w:jc w:val="both"/>
      </w:pPr>
      <w:r>
        <w:rPr>
          <w:b/>
          <w:sz w:val="21"/>
        </w:rPr>
        <w:t>二十六</w:t>
      </w:r>
      <w:r>
        <w:rPr>
          <w:b/>
          <w:sz w:val="21"/>
        </w:rPr>
        <w:t>、服务对照执行标准</w:t>
      </w:r>
    </w:p>
    <w:p>
      <w:pPr>
        <w:jc w:val="both"/>
      </w:pPr>
      <w:r>
        <w:rPr>
          <w:sz w:val="21"/>
        </w:rPr>
        <w:t>（一）符合中华人民共和国国家和履约地相关安全质量标准、行业技术规范标准；</w:t>
      </w:r>
    </w:p>
    <w:p>
      <w:pPr>
        <w:jc w:val="both"/>
      </w:pPr>
      <w:r>
        <w:rPr>
          <w:sz w:val="21"/>
        </w:rPr>
        <w:t>（二）符合采购文件和响应承诺中各方共同认可的合理要求；</w:t>
      </w:r>
    </w:p>
    <w:p>
      <w:pPr>
        <w:jc w:val="both"/>
      </w:pPr>
      <w:r>
        <w:rPr>
          <w:sz w:val="21"/>
        </w:rPr>
        <w:t>（三）上述各类标准与法规必须是有关官方机构最新发布的现行标准版本。</w:t>
      </w:r>
    </w:p>
    <w:p>
      <w:pPr>
        <w:jc w:val="both"/>
      </w:pPr>
      <w:r>
        <w:rPr>
          <w:b/>
          <w:sz w:val="21"/>
        </w:rPr>
        <w:t>二十七</w:t>
      </w:r>
      <w:r>
        <w:rPr>
          <w:b/>
          <w:sz w:val="21"/>
        </w:rPr>
        <w:t>、投诉跟踪服务要求</w:t>
      </w:r>
    </w:p>
    <w:p>
      <w:pPr>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（二）服务期内，甲方有权按本项目的管理要求对乙方进行不定期抽查检查，若对不合格的管理服务提出警告后，仍未得到有效解决时，甲方有权终止管理合同。</w:t>
      </w:r>
    </w:p>
    <w:p>
      <w:pPr>
        <w:jc w:val="both"/>
      </w:pPr>
      <w:r>
        <w:rPr>
          <w:sz w:val="21"/>
        </w:rPr>
        <w:t>（三）乙方服务机构名称及地址：</w:t>
      </w:r>
    </w:p>
    <w:p>
      <w:pPr>
        <w:ind w:firstLine="420"/>
        <w:jc w:val="both"/>
      </w:pPr>
      <w:r>
        <w:rPr>
          <w:sz w:val="21"/>
        </w:rPr>
        <w:t>联系人</w:t>
      </w:r>
      <w:r>
        <w:rPr>
          <w:sz w:val="21"/>
        </w:rPr>
        <w:t>1</w:t>
      </w:r>
      <w:r>
        <w:rPr>
          <w:sz w:val="21"/>
        </w:rPr>
        <w:t>：          ，联系电话：            ，手机：          ；</w:t>
      </w:r>
    </w:p>
    <w:p>
      <w:pPr>
        <w:ind w:firstLine="420"/>
        <w:jc w:val="both"/>
      </w:pPr>
      <w:r>
        <w:rPr>
          <w:sz w:val="21"/>
        </w:rPr>
        <w:t>联系人</w:t>
      </w:r>
      <w:r>
        <w:rPr>
          <w:sz w:val="21"/>
        </w:rPr>
        <w:t>2</w:t>
      </w:r>
      <w:r>
        <w:rPr>
          <w:sz w:val="21"/>
        </w:rPr>
        <w:t>：          ，联系电话：            ，手机：          ；</w:t>
      </w:r>
    </w:p>
    <w:p>
      <w:pPr>
        <w:ind w:firstLine="420"/>
        <w:jc w:val="both"/>
      </w:pPr>
      <w:r>
        <w:rPr>
          <w:sz w:val="21"/>
        </w:rPr>
        <w:t>服务专线电话：</w:t>
      </w:r>
    </w:p>
    <w:p>
      <w:pPr>
        <w:jc w:val="both"/>
      </w:pPr>
      <w:r>
        <w:rPr>
          <w:sz w:val="21"/>
        </w:rPr>
        <w:t>（四）其他服务要求：（补充内容不得对采购文件和投标文件作实质性修改）</w:t>
      </w:r>
    </w:p>
    <w:p>
      <w:pPr>
        <w:jc w:val="both"/>
      </w:pPr>
      <w:r>
        <w:rPr>
          <w:sz w:val="21"/>
          <w:u w:val="single"/>
        </w:rPr>
        <w:t xml:space="preserve">                                                          </w:t>
      </w:r>
      <w:r>
        <w:rPr>
          <w:sz w:val="21"/>
        </w:rPr>
        <w:t>。</w:t>
      </w:r>
    </w:p>
    <w:p>
      <w:pPr>
        <w:jc w:val="both"/>
      </w:pPr>
      <w:r>
        <w:rPr>
          <w:b/>
          <w:sz w:val="21"/>
        </w:rPr>
        <w:t>二十八</w:t>
      </w:r>
      <w:r>
        <w:rPr>
          <w:b/>
          <w:sz w:val="21"/>
        </w:rPr>
        <w:t>、提出异议的时间和方法</w:t>
      </w:r>
    </w:p>
    <w:p>
      <w:pPr>
        <w:jc w:val="both"/>
      </w:pPr>
      <w:r>
        <w:rPr>
          <w:sz w:val="21"/>
        </w:rPr>
        <w:t>（一）甲方有异议时，应</w:t>
      </w:r>
      <w:r>
        <w:rPr>
          <w:sz w:val="21"/>
          <w:u w:val="single"/>
        </w:rPr>
        <w:t xml:space="preserve">     </w:t>
      </w:r>
      <w:r>
        <w:rPr>
          <w:sz w:val="21"/>
        </w:rPr>
        <w:t>天内向乙方提出书面异议。</w:t>
      </w:r>
    </w:p>
    <w:p>
      <w:pPr>
        <w:jc w:val="both"/>
      </w:pPr>
      <w:r>
        <w:rPr>
          <w:sz w:val="21"/>
        </w:rPr>
        <w:t>（二）乙方在接到甲方书面异议后，应在</w:t>
      </w:r>
      <w:r>
        <w:rPr>
          <w:sz w:val="21"/>
        </w:rPr>
        <w:t>3</w:t>
      </w:r>
      <w:r>
        <w:rPr>
          <w:sz w:val="21"/>
        </w:rPr>
        <w:t>天内负责处理并函复甲方处理情况，否则，即视为默认甲方提出的异议和处理意见。</w:t>
      </w:r>
    </w:p>
    <w:p>
      <w:pPr>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sz w:val="21"/>
        </w:rPr>
        <w:t>二十九</w:t>
      </w:r>
      <w:r>
        <w:rPr>
          <w:b/>
          <w:sz w:val="21"/>
        </w:rPr>
        <w:t>、争议的解决</w:t>
      </w:r>
    </w:p>
    <w:p>
      <w:pPr>
        <w:jc w:val="both"/>
      </w:pPr>
      <w:r>
        <w:rPr>
          <w:sz w:val="21"/>
        </w:rPr>
        <w:t>（一）合同履行过程中发生的任何争议，如双方未能通过友好协商解决，应向佛山市有管辖权的人民法院提起诉讼。</w:t>
      </w:r>
    </w:p>
    <w:p>
      <w:pPr>
        <w:jc w:val="both"/>
      </w:pPr>
      <w:r>
        <w:rPr>
          <w:sz w:val="21"/>
        </w:rPr>
        <w:t>（二）法院审理期间，除提交法院审理的事项外，其它无争议的事项和条款仍应继续履行。</w:t>
      </w:r>
    </w:p>
    <w:p>
      <w:pPr>
        <w:jc w:val="both"/>
      </w:pPr>
      <w:r>
        <w:rPr>
          <w:b/>
          <w:sz w:val="21"/>
        </w:rPr>
        <w:t>三十</w:t>
      </w:r>
      <w:r>
        <w:rPr>
          <w:b/>
          <w:sz w:val="21"/>
        </w:rPr>
        <w:t>、不可抗力</w:t>
      </w:r>
    </w:p>
    <w:p>
      <w:pPr>
        <w:ind w:firstLine="420"/>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三十一</w:t>
      </w:r>
      <w:r>
        <w:rPr>
          <w:b/>
          <w:sz w:val="21"/>
        </w:rPr>
        <w:t>、税费</w:t>
      </w:r>
    </w:p>
    <w:p>
      <w:pPr>
        <w:jc w:val="both"/>
      </w:pPr>
      <w:r>
        <w:rPr>
          <w:sz w:val="21"/>
        </w:rPr>
        <w:t>（一）本合同实施过程中所发生的一切税费及不可预见费均由乙方承担。</w:t>
      </w:r>
    </w:p>
    <w:p>
      <w:pPr>
        <w:jc w:val="both"/>
      </w:pPr>
      <w:r>
        <w:rPr>
          <w:sz w:val="21"/>
        </w:rPr>
        <w:t>（二）乙方依照税务规章优先在合同履约地开具发票及纳税，咨询：</w:t>
      </w:r>
      <w:r>
        <w:rPr>
          <w:sz w:val="21"/>
        </w:rPr>
        <w:t>0757-12366</w:t>
      </w:r>
      <w:r>
        <w:rPr>
          <w:sz w:val="21"/>
        </w:rPr>
        <w:t>。</w:t>
      </w:r>
    </w:p>
    <w:p>
      <w:pPr>
        <w:jc w:val="both"/>
      </w:pPr>
      <w:r>
        <w:rPr>
          <w:b/>
          <w:sz w:val="21"/>
        </w:rPr>
        <w:t>三十二</w:t>
      </w:r>
      <w:r>
        <w:rPr>
          <w:b/>
          <w:sz w:val="21"/>
        </w:rPr>
        <w:t>、合同生效与合同备案</w:t>
      </w:r>
    </w:p>
    <w:p>
      <w:pPr>
        <w:jc w:val="both"/>
      </w:pPr>
      <w:r>
        <w:rPr>
          <w:sz w:val="21"/>
        </w:rPr>
        <w:t>（一）本合同在甲乙双方法人代表或其授权代表签字盖章后生效。</w:t>
      </w:r>
    </w:p>
    <w:p>
      <w:pPr>
        <w:jc w:val="both"/>
      </w:pPr>
      <w:r>
        <w:rPr>
          <w:sz w:val="21"/>
        </w:rPr>
        <w:t>（二）自采购合同签订之日起</w:t>
      </w:r>
      <w:r>
        <w:rPr>
          <w:sz w:val="21"/>
        </w:rPr>
        <w:t>7</w:t>
      </w:r>
      <w:r>
        <w:rPr>
          <w:sz w:val="21"/>
        </w:rPr>
        <w:t>个工作日内，由甲方按照有关规定将采购合同副本报同级人民政府财政部门（政府采购管理部门）备案。</w:t>
      </w:r>
    </w:p>
    <w:p>
      <w:pPr>
        <w:jc w:val="both"/>
      </w:pPr>
      <w:r>
        <w:rPr>
          <w:b/>
          <w:sz w:val="21"/>
        </w:rPr>
        <w:t>三十三</w:t>
      </w:r>
      <w:r>
        <w:rPr>
          <w:b/>
          <w:sz w:val="21"/>
        </w:rPr>
        <w:t>、乙方应提供的资料内容</w:t>
      </w:r>
    </w:p>
    <w:p>
      <w:pPr>
        <w:jc w:val="both"/>
      </w:pPr>
      <w:r>
        <w:rPr>
          <w:sz w:val="21"/>
          <w:u w:val="single"/>
        </w:rPr>
        <w:t xml:space="preserve">                                                            </w:t>
      </w:r>
      <w:r>
        <w:rPr>
          <w:sz w:val="21"/>
        </w:rPr>
        <w:t>。</w:t>
      </w:r>
    </w:p>
    <w:p>
      <w:pPr>
        <w:jc w:val="both"/>
      </w:pPr>
      <w:r>
        <w:rPr>
          <w:b/>
          <w:sz w:val="21"/>
        </w:rPr>
        <w:t>三十四</w:t>
      </w:r>
      <w:r>
        <w:rPr>
          <w:b/>
          <w:sz w:val="21"/>
        </w:rPr>
        <w:t>、关于政府采购合同融资</w:t>
      </w:r>
    </w:p>
    <w:p>
      <w:pPr>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（二）融资银行及联系方式：</w:t>
      </w:r>
      <w:r>
        <w:rPr>
          <w:sz w:val="21"/>
          <w:u w:val="single"/>
        </w:rPr>
        <w:t xml:space="preserve">                                                </w:t>
      </w:r>
      <w:r>
        <w:rPr>
          <w:sz w:val="21"/>
        </w:rPr>
        <w:t>。</w:t>
      </w:r>
    </w:p>
    <w:p>
      <w:pPr>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三十五</w:t>
      </w:r>
      <w:r>
        <w:rPr>
          <w:b/>
          <w:sz w:val="21"/>
        </w:rPr>
        <w:t>、其它</w:t>
      </w:r>
    </w:p>
    <w:p>
      <w:pPr>
        <w:jc w:val="both"/>
      </w:pPr>
      <w:r>
        <w:rPr>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（二）如一方（包括联系人）地址、电话、传真号码有变更，应在变更后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jc w:val="both"/>
      </w:pPr>
      <w:r>
        <w:rPr>
          <w:sz w:val="21"/>
        </w:rPr>
        <w:t>（三）未经甲方书面同意，乙方不得擅自向第三方转让其主体性和关键性合同义务。</w:t>
      </w:r>
    </w:p>
    <w:p>
      <w:pPr>
        <w:jc w:val="both"/>
      </w:pPr>
      <w:r>
        <w:rPr>
          <w:sz w:val="21"/>
        </w:rPr>
        <w:t>（四）本合同一式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（五）本合同（含附件）共计</w:t>
      </w:r>
      <w:r>
        <w:rPr>
          <w:sz w:val="21"/>
          <w:u w:val="single"/>
        </w:rPr>
        <w:t xml:space="preserve">    </w:t>
      </w:r>
      <w:r>
        <w:rPr>
          <w:sz w:val="21"/>
        </w:rPr>
        <w:t>页，缺页之合同为无效合同。</w:t>
      </w:r>
    </w:p>
    <w:p>
      <w:pPr>
        <w:jc w:val="both"/>
      </w:pPr>
      <w:r>
        <w:rPr>
          <w:sz w:val="21"/>
        </w:rPr>
        <w:t>（六）本合同签约履约地点：广东省佛山市。</w:t>
      </w:r>
    </w:p>
    <w:p>
      <w:pPr>
        <w:jc w:val="both"/>
      </w:pPr>
      <w:r>
        <w:rPr>
          <w:sz w:val="21"/>
        </w:rPr>
        <w:t>（七）本合同所指</w:t>
      </w:r>
      <w:r>
        <w:rPr>
          <w:sz w:val="21"/>
        </w:rPr>
        <w:t>“</w:t>
      </w:r>
      <w:r>
        <w:rPr>
          <w:sz w:val="21"/>
        </w:rPr>
        <w:t>书面通知</w:t>
      </w:r>
      <w:r>
        <w:rPr>
          <w:sz w:val="21"/>
        </w:rPr>
        <w:t>”</w:t>
      </w:r>
      <w:r>
        <w:rPr>
          <w:sz w:val="21"/>
        </w:rPr>
        <w:t>包括但不限于短信、电子邮件等数据电文的通知形式，到达时间以民事诉讼法的规定为准，但进行书面通知前后，通知方均有义务电话确认通知事项。</w:t>
      </w:r>
    </w:p>
    <w:p>
      <w:pPr>
        <w:jc w:val="both"/>
      </w:pPr>
      <w:r>
        <w:rPr>
          <w:sz w:val="21"/>
        </w:rPr>
        <w:t>（八）双方均已对以上各条款及附件作充分了解，并明确理解由此而产生的相关权责。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514"/>
        <w:gridCol w:w="3792"/>
      </w:tblGrid>
      <w:tr>
        <w:tc>
          <w:tcPr>
            <w:tcW w:type="dxa" w:w="4514"/>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79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514"/>
            <w:tcBorders>
              <w:top w:val="none" w:color="000000" w:sz="4"/>
              <w:left w:val="none" w:color="000000" w:sz="4"/>
              <w:bottom w:val="single" w:color="FFFFFF" w:sz="4"/>
              <w:right w:val="dashed" w:color="000000" w:sz="4"/>
            </w:tcBorders>
            <w:vAlign w:val="top"/>
          </w:tcPr>
          <w:p>
            <w:pPr>
              <w:jc w:val="both"/>
            </w:pPr>
          </w:p>
          <w:p>
            <w:pPr>
              <w:jc w:val="both"/>
            </w:pPr>
          </w:p>
        </w:tc>
        <w:tc>
          <w:tcPr>
            <w:tcW w:type="dxa" w:w="3792"/>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1"/>
              </w:rPr>
              <w:t xml:space="preserve"> </w:t>
            </w:r>
            <w:r>
              <w:rPr>
                <w:sz w:val="21"/>
              </w:rPr>
              <w:t>户</w:t>
            </w:r>
            <w:r>
              <w:rPr>
                <w:sz w:val="21"/>
              </w:rPr>
              <w:t xml:space="preserve"> </w:t>
            </w:r>
            <w:r>
              <w:rPr>
                <w:sz w:val="21"/>
              </w:rPr>
              <w:t>行：</w:t>
            </w:r>
          </w:p>
        </w:tc>
      </w:tr>
    </w:tbl>
    <w:p>
      <w:pPr>
        <w:jc w:val="both"/>
      </w:pPr>
    </w:p>
    <w:p>
      <w:pPr>
        <w:jc w:val="both"/>
      </w:pPr>
    </w:p>
    <w:p>
      <w:pPr>
        <w:jc w:val="both"/>
      </w:pPr>
      <w:r>
        <w:rPr>
          <w:b/>
          <w:sz w:val="21"/>
        </w:rPr>
        <w:t>合同附件清单：</w:t>
      </w:r>
    </w:p>
    <w:p>
      <w:pPr>
        <w:jc w:val="both"/>
      </w:pPr>
      <w:r>
        <w:rPr>
          <w:b/>
          <w:sz w:val="21"/>
        </w:rPr>
        <w:t>附件一、《报价清单明细表》</w:t>
      </w:r>
    </w:p>
    <w:p>
      <w:pPr>
        <w:jc w:val="both"/>
      </w:pPr>
      <w:r>
        <w:rPr>
          <w:b/>
          <w:sz w:val="21"/>
        </w:rPr>
        <w:t>附件二、</w:t>
      </w:r>
      <w:r>
        <w:rPr>
          <w:b/>
          <w:sz w:val="21"/>
        </w:rPr>
        <w:t>2023</w:t>
      </w:r>
      <w:r>
        <w:rPr>
          <w:b/>
          <w:sz w:val="21"/>
        </w:rPr>
        <w:t>年农贸市场快检重点项目清单</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440606-2024-00572</w:t>
      </w:r>
    </w:p>
    <w:p>
      <w:pPr>
        <w:jc w:val="center"/>
      </w:pPr>
      <w:r>
        <w:rPr>
          <w:b/>
          <w:sz w:val="24"/>
        </w:rPr>
        <w:t>采购项目编号：</w:t>
      </w:r>
      <w:r>
        <w:rPr>
          <w:b/>
          <w:sz w:val="24"/>
        </w:rPr>
        <w:t>BDGZ2024005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顺德区市场监督管理局2024年3月-2025年2月食用农产品快速检测项目</w:t>
      </w:r>
      <w:r>
        <w:rPr>
          <w:u w:val="single"/>
        </w:rPr>
        <w:t>”</w:t>
      </w:r>
      <w:r>
        <w:rPr/>
        <w:t>项目的招标[采购项目编号为：</w:t>
      </w:r>
      <w:r>
        <w:rPr>
          <w:u w:val="single"/>
        </w:rPr>
        <w:t>BDGZ2024005</w:t>
      </w:r>
      <w:r>
        <w:rPr/>
        <w:t>]，我方愿参与投标。</w:t>
      </w:r>
    </w:p>
    <w:p>
      <w:pPr>
        <w:ind w:firstLine="480"/>
      </w:pPr>
      <w:r>
        <w:rPr/>
        <w:t>我方确认收到贵方提供的</w:t>
      </w:r>
      <w:r>
        <w:rPr>
          <w:u w:val="single"/>
        </w:rPr>
        <w:t>“</w:t>
      </w:r>
      <w:r>
        <w:rPr>
          <w:u w:val="single"/>
        </w:rPr>
        <w:t>顺德区市场监督管理局2024年3月-2025年2月食用农产品快速检测项目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顺德区市场监督管理局2024年3月-2025年2月食用农产品快速检测项目</w:t>
      </w:r>
      <w:r>
        <w:rPr/>
        <w:t>”项目采购[采购项目编号为</w:t>
      </w:r>
      <w:r>
        <w:rPr/>
        <w:t>BDGZ2024005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佛山市顺德区市场监督管理局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顺德区市场监督管理局2024年3月-2025年2月食用农产品快速检测项目</w:t>
      </w:r>
      <w:r>
        <w:rPr/>
        <w:t>招标中获中标（采购项目编号：</w:t>
      </w:r>
      <w:r>
        <w:rPr/>
        <w:t>BDGZ2024005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顺德区市场监督管理局2024年3月-2025年2月食用农产品快速检测项目</w:t>
      </w:r>
      <w:r>
        <w:rPr/>
        <w:t>”项目（采购项目编号：</w:t>
      </w:r>
      <w:r>
        <w:rPr/>
        <w:t>BDGZ2024005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