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440001-2024-00318</w:t>
      </w:r>
    </w:p>
    <w:p>
      <w:pPr>
        <w:jc w:val="center"/>
      </w:pPr>
      <w:r>
        <w:rPr>
          <w:b/>
          <w:sz w:val="24"/>
        </w:rPr>
        <w:t>采购项目编号：</w:t>
      </w:r>
      <w:r>
        <w:rPr>
          <w:b/>
          <w:sz w:val="24"/>
        </w:rPr>
        <w:t>BDGZ2023085</w:t>
      </w:r>
    </w:p>
    <w:p>
      <w:pPr>
        <w:jc w:val="center"/>
      </w:pPr>
      <w:r>
        <w:rPr>
          <w:b/>
          <w:sz w:val="24"/>
        </w:rPr>
        <w:t>项目名称：</w:t>
      </w:r>
      <w:r>
        <w:rPr>
          <w:b/>
          <w:sz w:val="24"/>
        </w:rPr>
        <w:t>2024年-2026年民警餐厅食材配送项目</w:t>
      </w:r>
    </w:p>
    <w:p>
      <w:pPr>
        <w:jc w:val="center"/>
      </w:pPr>
      <w:r>
        <w:rPr>
          <w:b/>
          <w:sz w:val="24"/>
        </w:rPr>
        <w:t>采购人：</w:t>
      </w:r>
      <w:r>
        <w:rPr>
          <w:b/>
          <w:sz w:val="24"/>
        </w:rPr>
        <w:t>广东省三水强制隔离戒毒所</w:t>
      </w:r>
    </w:p>
    <w:p>
      <w:pPr>
        <w:jc w:val="center"/>
      </w:pPr>
      <w:r>
        <w:rPr>
          <w:b/>
          <w:sz w:val="24"/>
        </w:rPr>
        <w:t>采购代理机构：</w:t>
      </w:r>
      <w:r>
        <w:rPr>
          <w:b/>
          <w:sz w:val="24"/>
        </w:rPr>
        <w:t>广东必鼎工程项目管理有限公司</w:t>
      </w:r>
    </w:p>
    <w:p>
      <w:pPr>
        <w:ind w:firstLine="480"/>
      </w:pPr>
    </w:p>
    <w:p>
      <w:r>
        <w:rPr/>
        <w:t xml:space="preserve"> </w:t>
      </w:r>
    </w:p>
    <w:p/>
    <w:p>
      <w:pPr>
        <w:jc w:val="center"/>
      </w:pPr>
      <w:r>
        <w:rPr>
          <w:b/>
          <w:sz w:val="36"/>
        </w:rPr>
        <w:t>第一章投标邀请</w:t>
      </w:r>
    </w:p>
    <w:p>
      <w:pPr>
        <w:ind w:firstLine="480"/>
      </w:pPr>
      <w:r>
        <w:rPr/>
        <w:t>广东必鼎工程项目管理有限公司</w:t>
      </w:r>
      <w:r>
        <w:rPr/>
        <w:t>受</w:t>
      </w:r>
      <w:r>
        <w:rPr/>
        <w:t>广东省三水强制隔离戒毒所</w:t>
      </w:r>
      <w:r>
        <w:rPr/>
        <w:t>的委托，采用</w:t>
      </w:r>
      <w:r>
        <w:rPr/>
        <w:t>公开招标</w:t>
      </w:r>
      <w:r>
        <w:rPr/>
        <w:t>方式组织采购</w:t>
      </w:r>
      <w:r>
        <w:rPr/>
        <w:t>2024年-2026年民警餐厅食材配送项目</w:t>
      </w:r>
      <w:r>
        <w:rPr/>
        <w:t>。欢迎符合资格条件的国内供应商参加投标。</w:t>
      </w:r>
    </w:p>
    <w:p>
      <w:r>
        <w:rPr>
          <w:b/>
          <w:sz w:val="28"/>
        </w:rPr>
        <w:t>一.项目概述</w:t>
      </w:r>
    </w:p>
    <w:p>
      <w:r>
        <w:rPr>
          <w:b/>
          <w:sz w:val="24"/>
        </w:rPr>
        <w:t>1.名称与编号</w:t>
      </w:r>
    </w:p>
    <w:p>
      <w:pPr>
        <w:ind w:firstLine="480"/>
      </w:pPr>
      <w:r>
        <w:rPr/>
        <w:t>项目名称：</w:t>
      </w:r>
      <w:r>
        <w:rPr/>
        <w:t>2024年-2026年民警餐厅食材配送项目</w:t>
      </w:r>
    </w:p>
    <w:p>
      <w:pPr>
        <w:ind w:firstLine="480"/>
      </w:pPr>
      <w:r>
        <w:rPr/>
        <w:t>采购计划编号：</w:t>
      </w:r>
      <w:r>
        <w:rPr/>
        <w:t>440001-2024-00318</w:t>
      </w:r>
    </w:p>
    <w:p>
      <w:pPr>
        <w:ind w:firstLine="480"/>
      </w:pPr>
      <w:r>
        <w:rPr/>
        <w:t>采购项目编号：</w:t>
      </w:r>
      <w:r>
        <w:rPr/>
        <w:t>BDGZ2023085</w:t>
      </w:r>
    </w:p>
    <w:p>
      <w:pPr>
        <w:ind w:firstLine="480"/>
      </w:pPr>
      <w:r>
        <w:rPr/>
        <w:t>采购方式：</w:t>
      </w:r>
      <w:r>
        <w:rPr/>
        <w:t>公开招标</w:t>
      </w:r>
    </w:p>
    <w:p>
      <w:pPr>
        <w:ind w:firstLine="480"/>
      </w:pPr>
      <w:r>
        <w:rPr/>
        <w:t>预算金额：</w:t>
      </w:r>
      <w:r>
        <w:rPr/>
        <w:t>9,000,000.00</w:t>
      </w:r>
      <w:r>
        <w:rPr/>
        <w:t>元</w:t>
      </w:r>
    </w:p>
    <w:p>
      <w:r>
        <w:rPr>
          <w:b/>
          <w:sz w:val="24"/>
        </w:rPr>
        <w:t>2.项目内容及需求情况（采购项目技术规格、参数及要求）</w:t>
      </w:r>
    </w:p>
    <w:p>
      <w:pPr>
        <w:ind w:firstLine="480"/>
      </w:pPr>
    </w:p>
    <w:p/>
    <w:p>
      <w:r>
        <w:rPr/>
        <w:t>采购包1(2024年-2026年民警餐厅食材配送项目):</w:t>
      </w:r>
    </w:p>
    <w:p>
      <w:r>
        <w:rPr/>
        <w:t>采购包预算金额：9,000,000.00元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2024年-2026年民警餐厅食材配送项目</w:t>
            </w:r>
          </w:p>
        </w:tc>
        <w:tc>
          <w:tcPr>
            <w:tcW w:type="dxa" w:w="977"/>
          </w:tcPr>
          <w:p>
            <w:r>
              <w:rPr/>
              <w:t>1.00(项)</w:t>
            </w:r>
          </w:p>
        </w:tc>
        <w:tc>
          <w:tcPr>
            <w:tcW w:type="dxa" w:w="977"/>
          </w:tcPr>
          <w:p>
            <w:r>
              <w:rPr/>
              <w:t>详见第二章</w:t>
            </w:r>
          </w:p>
        </w:tc>
        <w:tc>
          <w:tcPr>
            <w:tcW w:type="dxa" w:w="977"/>
          </w:tcPr>
          <w:p>
            <w:r>
              <w:rPr/>
              <w:t>9,000,000.00</w:t>
            </w:r>
          </w:p>
        </w:tc>
        <w:tc>
          <w:tcPr>
            <w:tcW w:type="dxa" w:w="977"/>
          </w:tcPr>
          <w:p>
            <w:r>
              <w:rPr/>
              <w:t>否</w:t>
            </w:r>
          </w:p>
        </w:tc>
      </w:tr>
    </w:tbl>
    <w:p/>
    <w:p>
      <w:r>
        <w:rPr/>
        <w:t>本采购包不接受联合体投标</w:t>
      </w:r>
    </w:p>
    <w:p/>
    <w:p>
      <w:r>
        <w:rPr/>
        <w:t>合同履行期限：供货服务期2年（具体起始日期以合同约定为准）。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
      <w:r>
        <w:rPr/>
        <w:t>2）有依法缴纳税收和社会保障资金的良好记录：须提供下列任一项证明材料：提供《政府采购供应商资格信用承诺函》(格式详见招标文件附件)或提供投标截止日前6个月内任意1个月依法缴纳税收和社会保障资金的相关材料。 如依法免税或不需要缴纳社会保障资金的， 提供相应证明材料。</w:t>
      </w:r>
    </w:p>
    <w:p/>
    <w:p>
      <w:r>
        <w:rPr/>
        <w:t>3）具有良好的商业信誉和健全的财务会计制度：财务会计制度情况，须提供下列任一项证明材料：提供《政府采购供应商资格信用承诺函》(格式详见招标文件附件)或提供2022年度经会计师事务所审计的财务审计报告(含四表一注，中小微企业的至少含三表一注），无法提供经审计的财务状况报告的，提供基本开户行出具的资信证明。</w:t>
      </w:r>
    </w:p>
    <w:p/>
    <w:p>
      <w:r>
        <w:rPr/>
        <w:t>4）履行合同所必需的设备和专业技术能力：提供“具有履行合同所必需的设备和专业技术能力”的承诺函，格式自拟。</w:t>
      </w:r>
    </w:p>
    <w:p/>
    <w:p>
      <w:r>
        <w:rPr/>
        <w:t>5）参加采购活动前3年内，在经营活动中没有重大违法记录：提供《政府采购供应商资格信用承诺函》或参照投标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采购包1（2024年-2026年民警餐厅食材配送项目）：</w:t>
      </w:r>
      <w:r>
        <w:rPr/>
        <w:t>无（采购包不专门面向中小企业采购）</w:t>
      </w:r>
    </w:p>
    <w:p/>
    <w:p>
      <w:r>
        <w:rPr>
          <w:b/>
          <w:sz w:val="24"/>
        </w:rPr>
        <w:t>3.本项目特定的资格要求：</w:t>
      </w:r>
    </w:p>
    <w:p>
      <w:pPr>
        <w:ind w:firstLine="480"/>
      </w:pPr>
    </w:p>
    <w:p/>
    <w:p>
      <w:r>
        <w:rPr/>
        <w:t>采购包1（2024年-2026年民警餐厅食材配送项目）：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①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 ②供应商具有有效的《食品生产许可证》或《食品经营许可证》或销售预包装食品备案，提供有效期内的证书或证明文件复印件（如国家另有规定，则适用其规定）。【如投标人的《食品经营许可证》与营业执照合并办理的，提供扫描营业执照二维码后的有效备案信息截图】</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采购代理机构（https://www.gdbdzb.com/）</w:t>
      </w:r>
    </w:p>
    <w:p>
      <w:r>
        <w:rPr>
          <w:b/>
          <w:sz w:val="28"/>
        </w:rPr>
        <w:t>六.本项目联系方式：</w:t>
      </w:r>
    </w:p>
    <w:p>
      <w:r>
        <w:rPr>
          <w:b/>
          <w:sz w:val="24"/>
        </w:rPr>
        <w:t>1.采购人信息</w:t>
      </w:r>
    </w:p>
    <w:p>
      <w:pPr>
        <w:ind w:firstLine="480"/>
      </w:pPr>
      <w:r>
        <w:rPr/>
        <w:t>名称：</w:t>
      </w:r>
      <w:r>
        <w:rPr/>
        <w:t>广东省三水强制隔离戒毒所</w:t>
      </w:r>
    </w:p>
    <w:p>
      <w:pPr>
        <w:ind w:firstLine="480"/>
      </w:pPr>
      <w:r>
        <w:rPr/>
        <w:t>地址：</w:t>
      </w:r>
      <w:r>
        <w:rPr/>
        <w:t>佛山市三水区三水农场</w:t>
      </w:r>
    </w:p>
    <w:p>
      <w:pPr>
        <w:ind w:firstLine="480"/>
      </w:pPr>
      <w:r>
        <w:rPr/>
        <w:t>联系方式：</w:t>
      </w:r>
      <w:r>
        <w:rPr/>
        <w:t>0757-66830327</w:t>
      </w:r>
    </w:p>
    <w:p>
      <w:r>
        <w:rPr>
          <w:b/>
          <w:sz w:val="24"/>
        </w:rPr>
        <w:t>2.采购代理机构信息</w:t>
      </w:r>
    </w:p>
    <w:p>
      <w:pPr>
        <w:ind w:firstLine="480"/>
      </w:pPr>
      <w:r>
        <w:rPr/>
        <w:t>名称：</w:t>
      </w:r>
      <w:r>
        <w:rPr/>
        <w:t>广东必鼎工程项目管理有限公司</w:t>
      </w:r>
    </w:p>
    <w:p>
      <w:pPr>
        <w:ind w:firstLine="480"/>
      </w:pPr>
      <w:r>
        <w:rPr/>
        <w:t>地址：</w:t>
      </w:r>
      <w:r>
        <w:rPr/>
        <w:t>佛山市顺德区大良街道办事处逢沙村委会荟智路2号车创智谷广场1栋601单元</w:t>
      </w:r>
    </w:p>
    <w:p>
      <w:pPr>
        <w:ind w:firstLine="480"/>
      </w:pPr>
      <w:r>
        <w:rPr/>
        <w:t>联系方式：</w:t>
      </w:r>
      <w:r>
        <w:rPr/>
        <w:t>0757-82593498</w:t>
      </w:r>
    </w:p>
    <w:p>
      <w:r>
        <w:rPr>
          <w:b/>
          <w:sz w:val="24"/>
        </w:rPr>
        <w:t>3.项目联系方式</w:t>
      </w:r>
    </w:p>
    <w:p>
      <w:pPr>
        <w:ind w:firstLine="480"/>
      </w:pPr>
      <w:r>
        <w:rPr/>
        <w:t>项目联系人：</w:t>
      </w:r>
      <w:r>
        <w:rPr/>
        <w:t>何先生</w:t>
      </w:r>
    </w:p>
    <w:p>
      <w:pPr>
        <w:ind w:firstLine="480"/>
      </w:pPr>
      <w:r>
        <w:rPr/>
        <w:t>电话：</w:t>
      </w:r>
      <w:r>
        <w:rPr/>
        <w:t>0757-82593498</w:t>
      </w:r>
    </w:p>
    <w:p>
      <w:r>
        <w:rPr>
          <w:b/>
          <w:sz w:val="24"/>
        </w:rPr>
        <w:t>4.技术支持联系方式</w:t>
      </w:r>
    </w:p>
    <w:p>
      <w:pPr>
        <w:ind w:firstLine="480"/>
      </w:pPr>
      <w:r>
        <w:rPr/>
        <w:t>云平台联系方式：020-88696588</w:t>
      </w:r>
    </w:p>
    <w:p>
      <w:r>
        <w:rPr/>
        <w:t>采购代理机构：</w:t>
      </w:r>
      <w:r>
        <w:rPr/>
        <w:t>广东必鼎工程项目管理有限公司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采购人为广东省三水强制隔离戒毒所，采购的具体数量和品种根据当天或每月的实际情况来定。本次通过公开招</w:t>
      </w:r>
      <w:r>
        <w:rPr>
          <w:sz w:val="21"/>
        </w:rPr>
        <w:t>标的方式确定广东省三水强制隔离戒毒所民警餐厅食材配送服务的供应商</w:t>
      </w:r>
      <w:r>
        <w:rPr>
          <w:sz w:val="21"/>
        </w:rPr>
        <w:t>1家，供应期限为两年。</w:t>
      </w:r>
    </w:p>
    <w:p>
      <w:pPr>
        <w:jc w:val="both"/>
      </w:pPr>
      <w:r>
        <w:rPr>
          <w:sz w:val="21"/>
        </w:rPr>
        <w:t>2.需求提及的相关表格：</w:t>
      </w:r>
    </w:p>
    <w:p>
      <w:pPr>
        <w:jc w:val="center"/>
      </w:pPr>
      <w:r>
        <w:rPr>
          <w:b/>
          <w:sz w:val="28"/>
        </w:rPr>
        <w:t>年度考核表</w:t>
      </w:r>
    </w:p>
    <w:p>
      <w:pPr>
        <w:jc w:val="center"/>
      </w:pPr>
      <w:r>
        <w:rPr>
          <w:sz w:val="21"/>
        </w:rPr>
        <w:t>（</w:t>
      </w:r>
      <w:r>
        <w:rPr>
          <w:sz w:val="21"/>
        </w:rPr>
        <w:t xml:space="preserve">         </w:t>
      </w:r>
      <w:r>
        <w:rPr>
          <w:sz w:val="21"/>
        </w:rPr>
        <w:t>年度）</w:t>
      </w:r>
    </w:p>
    <w:tbl>
      <w:tblPr>
        <w:tblW w:w="0" w:type="auto"/>
        <w:tblBorders>
          <w:top w:val="none" w:color="000000" w:sz="4"/>
          <w:left w:val="none" w:color="000000" w:sz="4"/>
          <w:bottom w:val="none" w:color="000000" w:sz="4"/>
          <w:right w:val="none" w:color="000000" w:sz="4"/>
          <w:insideH w:val="none"/>
          <w:insideV w:val="none"/>
        </w:tblBorders>
      </w:tblPr>
      <w:tblGrid>
        <w:gridCol w:w="1560"/>
        <w:gridCol w:w="1560"/>
        <w:gridCol w:w="1560"/>
        <w:gridCol w:w="1560"/>
        <w:gridCol w:w="1560"/>
      </w:tblGrid>
      <w:tr>
        <w:tc>
          <w:tcPr>
            <w:tcW w:type="dxa" w:w="7800"/>
            <w:gridSpan w:val="5"/>
            <w:tcBorders>
              <w:top w:val="single" w:color="000000" w:sz="4"/>
              <w:left w:val="single" w:color="000000" w:sz="4"/>
              <w:bottom w:val="single" w:color="000000" w:sz="4"/>
              <w:right w:val="single" w:color="000000" w:sz="4"/>
            </w:tcBorders>
            <w:vAlign w:val="top"/>
          </w:tcPr>
          <w:p>
            <w:pPr>
              <w:jc w:val="both"/>
            </w:pPr>
            <w:r>
              <w:rPr>
                <w:sz w:val="21"/>
              </w:rPr>
              <w:t>考核内容：</w:t>
            </w:r>
          </w:p>
          <w:p>
            <w:pPr>
              <w:jc w:val="both"/>
            </w:pPr>
            <w:r>
              <w:rPr>
                <w:sz w:val="21"/>
              </w:rPr>
              <w:t>1</w:t>
            </w:r>
            <w:r>
              <w:rPr>
                <w:sz w:val="21"/>
              </w:rPr>
              <w:t>.</w:t>
            </w:r>
            <w:r>
              <w:rPr>
                <w:sz w:val="21"/>
              </w:rPr>
              <w:t>每次</w:t>
            </w:r>
            <w:r>
              <w:rPr>
                <w:sz w:val="21"/>
              </w:rPr>
              <w:t>配送未按要求提供相关检验证明</w:t>
            </w:r>
            <w:r>
              <w:rPr>
                <w:sz w:val="21"/>
              </w:rPr>
              <w:t>扣</w:t>
            </w:r>
            <w:r>
              <w:rPr>
                <w:sz w:val="21"/>
              </w:rPr>
              <w:t>10分；</w:t>
            </w:r>
          </w:p>
          <w:p>
            <w:pPr>
              <w:jc w:val="both"/>
            </w:pPr>
            <w:r>
              <w:rPr>
                <w:sz w:val="21"/>
              </w:rPr>
              <w:t>2</w:t>
            </w:r>
            <w:r>
              <w:rPr>
                <w:sz w:val="21"/>
              </w:rPr>
              <w:t>.</w:t>
            </w:r>
            <w:r>
              <w:rPr>
                <w:sz w:val="21"/>
              </w:rPr>
              <w:t>每次不符合肉菜验收标准细则中任一条扣</w:t>
            </w:r>
            <w:r>
              <w:rPr>
                <w:sz w:val="21"/>
              </w:rPr>
              <w:t>3分/条；</w:t>
            </w:r>
          </w:p>
          <w:p>
            <w:pPr>
              <w:jc w:val="both"/>
            </w:pPr>
            <w:r>
              <w:rPr>
                <w:sz w:val="21"/>
              </w:rPr>
              <w:t>3.</w:t>
            </w:r>
            <w:r>
              <w:rPr>
                <w:sz w:val="21"/>
              </w:rPr>
              <w:t>每次在</w:t>
            </w:r>
            <w:r>
              <w:rPr>
                <w:sz w:val="21"/>
              </w:rPr>
              <w:t>8：45时至9：00时</w:t>
            </w:r>
            <w:r>
              <w:rPr>
                <w:sz w:val="21"/>
              </w:rPr>
              <w:t>配送</w:t>
            </w:r>
            <w:r>
              <w:rPr>
                <w:sz w:val="21"/>
              </w:rPr>
              <w:t>的扣</w:t>
            </w:r>
            <w:r>
              <w:rPr>
                <w:sz w:val="21"/>
              </w:rPr>
              <w:t>1分；9：30时后</w:t>
            </w:r>
            <w:r>
              <w:rPr>
                <w:sz w:val="21"/>
              </w:rPr>
              <w:t>配送</w:t>
            </w:r>
            <w:r>
              <w:rPr>
                <w:sz w:val="21"/>
              </w:rPr>
              <w:t>的扣</w:t>
            </w:r>
            <w:r>
              <w:rPr>
                <w:sz w:val="21"/>
              </w:rPr>
              <w:t>2分。</w:t>
            </w:r>
          </w:p>
          <w:p>
            <w:pPr>
              <w:jc w:val="both"/>
            </w:pPr>
            <w:r>
              <w:rPr>
                <w:sz w:val="21"/>
              </w:rPr>
              <w:t>4</w:t>
            </w:r>
            <w:r>
              <w:rPr>
                <w:sz w:val="21"/>
              </w:rPr>
              <w:t>.</w:t>
            </w:r>
            <w:r>
              <w:rPr>
                <w:sz w:val="21"/>
              </w:rPr>
              <w:t>如因肉菜质量问题造成卫生安全事故，中标人须负一切责任并且采购人有权利取消其服务资格</w:t>
            </w:r>
            <w:r>
              <w:rPr>
                <w:sz w:val="21"/>
              </w:rPr>
              <w:t>。</w:t>
            </w:r>
          </w:p>
        </w:tc>
      </w:tr>
      <w:tr>
        <w:tc>
          <w:tcPr>
            <w:tcW w:type="dxa" w:w="1560"/>
            <w:tcBorders>
              <w:top w:val="none" w:color="000000" w:sz="4"/>
              <w:left w:val="single" w:color="000000" w:sz="4"/>
              <w:bottom w:val="single" w:color="000000" w:sz="4"/>
              <w:right w:val="single" w:color="000000" w:sz="4"/>
            </w:tcBorders>
            <w:vAlign w:val="top"/>
          </w:tcPr>
          <w:p>
            <w:pPr>
              <w:jc w:val="center"/>
            </w:pPr>
            <w:r>
              <w:rPr>
                <w:sz w:val="21"/>
              </w:rPr>
              <w:t>日期</w:t>
            </w:r>
          </w:p>
        </w:tc>
        <w:tc>
          <w:tcPr>
            <w:tcW w:type="dxa" w:w="1560"/>
            <w:tcBorders>
              <w:top w:val="single" w:color="000000" w:sz="4"/>
              <w:left w:val="single" w:color="000000" w:sz="4"/>
              <w:bottom w:val="single" w:color="000000" w:sz="4"/>
              <w:right w:val="single" w:color="000000" w:sz="4"/>
            </w:tcBorders>
            <w:vAlign w:val="top"/>
          </w:tcPr>
          <w:p>
            <w:pPr>
              <w:jc w:val="center"/>
            </w:pPr>
            <w:r>
              <w:rPr>
                <w:sz w:val="21"/>
              </w:rPr>
              <w:t>扣分内容</w:t>
            </w:r>
          </w:p>
        </w:tc>
        <w:tc>
          <w:tcPr>
            <w:tcW w:type="dxa" w:w="1560"/>
            <w:tcBorders>
              <w:top w:val="single" w:color="000000" w:sz="4"/>
              <w:left w:val="single" w:color="000000" w:sz="4"/>
              <w:bottom w:val="single" w:color="000000" w:sz="4"/>
              <w:right w:val="single" w:color="000000" w:sz="4"/>
            </w:tcBorders>
            <w:vAlign w:val="top"/>
          </w:tcPr>
          <w:p>
            <w:pPr>
              <w:jc w:val="center"/>
            </w:pPr>
            <w:r>
              <w:rPr>
                <w:sz w:val="21"/>
              </w:rPr>
              <w:t>本次扣分</w:t>
            </w:r>
          </w:p>
        </w:tc>
        <w:tc>
          <w:tcPr>
            <w:tcW w:type="dxa" w:w="1560"/>
            <w:tcBorders>
              <w:top w:val="single" w:color="000000" w:sz="4"/>
              <w:left w:val="single" w:color="000000" w:sz="4"/>
              <w:bottom w:val="single" w:color="000000" w:sz="4"/>
              <w:right w:val="single" w:color="000000" w:sz="4"/>
            </w:tcBorders>
            <w:vAlign w:val="top"/>
          </w:tcPr>
          <w:p>
            <w:pPr>
              <w:jc w:val="center"/>
            </w:pPr>
            <w:r>
              <w:rPr>
                <w:sz w:val="21"/>
              </w:rPr>
              <w:t>累计扣分</w:t>
            </w:r>
          </w:p>
        </w:tc>
        <w:tc>
          <w:tcPr>
            <w:tcW w:type="dxa" w:w="1560"/>
            <w:tcBorders>
              <w:top w:val="single" w:color="000000" w:sz="4"/>
              <w:left w:val="single" w:color="000000" w:sz="4"/>
              <w:bottom w:val="single" w:color="000000" w:sz="4"/>
              <w:right w:val="single" w:color="000000" w:sz="4"/>
            </w:tcBorders>
            <w:vAlign w:val="top"/>
          </w:tcPr>
          <w:p>
            <w:pPr>
              <w:jc w:val="center"/>
            </w:pPr>
            <w:r>
              <w:rPr>
                <w:sz w:val="21"/>
              </w:rPr>
              <w:t>双方签名</w:t>
            </w:r>
          </w:p>
        </w:tc>
      </w:tr>
      <w:tr>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r>
      <w:tr>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r>
      <w:tr>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r>
      <w:tr>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r>
      <w:tr>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r>
      <w:tr>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r>
      <w:tr>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r>
      <w:tr>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r>
      <w:tr>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r>
      <w:tr>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c>
          <w:tcPr>
            <w:tcW w:type="dxa" w:w="1560"/>
            <w:tcBorders>
              <w:top w:val="none" w:color="000000" w:sz="4"/>
              <w:left w:val="single" w:color="000000" w:sz="4"/>
              <w:bottom w:val="single" w:color="000000" w:sz="4"/>
              <w:right w:val="single" w:color="000000" w:sz="4"/>
            </w:tcBorders>
            <w:vAlign w:val="top"/>
          </w:tcPr>
          <w:p>
            <w:pPr>
              <w:jc w:val="center"/>
            </w:pPr>
          </w:p>
        </w:tc>
      </w:tr>
    </w:tbl>
    <w:p>
      <w:pPr>
        <w:jc w:val="center"/>
      </w:pPr>
      <w:r>
        <w:rPr>
          <w:b/>
          <w:sz w:val="21"/>
          <w:u w:val="single"/>
        </w:rPr>
        <w:t xml:space="preserve">     </w:t>
      </w:r>
      <w:r>
        <w:rPr>
          <w:b/>
          <w:sz w:val="21"/>
        </w:rPr>
        <w:t>验收记录表</w:t>
      </w:r>
    </w:p>
    <w:p>
      <w:pPr>
        <w:ind w:firstLine="42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915"/>
        <w:gridCol w:w="870"/>
        <w:gridCol w:w="870"/>
        <w:gridCol w:w="915"/>
        <w:gridCol w:w="1275"/>
        <w:gridCol w:w="1095"/>
        <w:gridCol w:w="1485"/>
      </w:tblGrid>
      <w:tr>
        <w:tc>
          <w:tcPr>
            <w:tcW w:type="dxa" w:w="915"/>
            <w:tcBorders>
              <w:top w:val="single" w:color="000000" w:sz="4"/>
              <w:left w:val="single" w:color="000000" w:sz="4"/>
              <w:bottom w:val="single" w:color="000000" w:sz="4"/>
              <w:right w:val="single" w:color="000000" w:sz="4"/>
            </w:tcBorders>
            <w:vAlign w:val="top"/>
          </w:tcPr>
          <w:p>
            <w:pPr>
              <w:jc w:val="center"/>
            </w:pPr>
            <w:r>
              <w:rPr>
                <w:sz w:val="21"/>
              </w:rPr>
              <w:t>品名</w:t>
            </w:r>
          </w:p>
        </w:tc>
        <w:tc>
          <w:tcPr>
            <w:tcW w:type="dxa" w:w="1740"/>
            <w:gridSpan w:val="2"/>
            <w:tcBorders>
              <w:top w:val="single" w:color="000000" w:sz="4"/>
              <w:left w:val="single" w:color="000000" w:sz="4"/>
              <w:bottom w:val="single" w:color="000000" w:sz="4"/>
              <w:right w:val="single" w:color="000000" w:sz="4"/>
            </w:tcBorders>
            <w:vAlign w:val="top"/>
          </w:tcPr>
          <w:p>
            <w:pPr>
              <w:jc w:val="both"/>
            </w:pPr>
          </w:p>
        </w:tc>
        <w:tc>
          <w:tcPr>
            <w:tcW w:type="dxa" w:w="915"/>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1275"/>
            <w:tcBorders>
              <w:top w:val="single" w:color="000000" w:sz="4"/>
              <w:left w:val="single" w:color="000000" w:sz="4"/>
              <w:bottom w:val="single" w:color="000000" w:sz="4"/>
              <w:right w:val="single" w:color="000000" w:sz="4"/>
            </w:tcBorders>
            <w:vAlign w:val="top"/>
          </w:tcPr>
          <w:p>
            <w:pPr>
              <w:jc w:val="center"/>
            </w:pPr>
          </w:p>
        </w:tc>
        <w:tc>
          <w:tcPr>
            <w:tcW w:type="dxa" w:w="1095"/>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485"/>
            <w:tcBorders>
              <w:top w:val="single" w:color="000000" w:sz="4"/>
              <w:left w:val="single" w:color="000000" w:sz="4"/>
              <w:bottom w:val="single" w:color="000000" w:sz="4"/>
              <w:right w:val="single" w:color="000000" w:sz="4"/>
            </w:tcBorders>
            <w:vAlign w:val="top"/>
          </w:tcPr>
          <w:p>
            <w:pPr>
              <w:jc w:val="center"/>
            </w:pP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供应商</w:t>
            </w:r>
          </w:p>
        </w:tc>
        <w:tc>
          <w:tcPr>
            <w:tcW w:type="dxa" w:w="2655"/>
            <w:gridSpan w:val="3"/>
            <w:tcBorders>
              <w:top w:val="none" w:color="000000" w:sz="4"/>
              <w:left w:val="single" w:color="000000" w:sz="4"/>
              <w:bottom w:val="single" w:color="000000" w:sz="4"/>
              <w:right w:val="single" w:color="000000" w:sz="4"/>
            </w:tcBorders>
            <w:vAlign w:val="top"/>
          </w:tcPr>
          <w:p>
            <w:pPr>
              <w:jc w:val="both"/>
            </w:pPr>
          </w:p>
        </w:tc>
        <w:tc>
          <w:tcPr>
            <w:tcW w:type="dxa" w:w="1275"/>
            <w:tcBorders>
              <w:top w:val="none" w:color="000000" w:sz="4"/>
              <w:left w:val="single" w:color="000000" w:sz="4"/>
              <w:bottom w:val="single" w:color="000000" w:sz="4"/>
              <w:right w:val="single" w:color="000000" w:sz="4"/>
            </w:tcBorders>
            <w:vAlign w:val="top"/>
          </w:tcPr>
          <w:p>
            <w:pPr>
              <w:jc w:val="center"/>
            </w:pPr>
            <w:r>
              <w:rPr>
                <w:sz w:val="21"/>
              </w:rPr>
              <w:t>票证名称</w:t>
            </w:r>
          </w:p>
        </w:tc>
        <w:tc>
          <w:tcPr>
            <w:tcW w:type="dxa" w:w="2580"/>
            <w:gridSpan w:val="2"/>
            <w:tcBorders>
              <w:top w:val="none" w:color="000000" w:sz="4"/>
              <w:left w:val="single" w:color="000000" w:sz="4"/>
              <w:bottom w:val="single" w:color="000000" w:sz="4"/>
              <w:right w:val="single" w:color="000000" w:sz="4"/>
            </w:tcBorders>
            <w:vAlign w:val="top"/>
          </w:tcPr>
          <w:p>
            <w:pPr>
              <w:jc w:val="center"/>
            </w:pP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票证出具单位</w:t>
            </w:r>
          </w:p>
        </w:tc>
        <w:tc>
          <w:tcPr>
            <w:tcW w:type="dxa" w:w="2655"/>
            <w:gridSpan w:val="3"/>
            <w:tcBorders>
              <w:top w:val="none" w:color="000000" w:sz="4"/>
              <w:left w:val="single" w:color="000000" w:sz="4"/>
              <w:bottom w:val="single" w:color="000000" w:sz="4"/>
              <w:right w:val="single" w:color="000000" w:sz="4"/>
            </w:tcBorders>
            <w:vAlign w:val="top"/>
          </w:tcPr>
          <w:p>
            <w:pPr>
              <w:jc w:val="center"/>
            </w:pPr>
          </w:p>
        </w:tc>
        <w:tc>
          <w:tcPr>
            <w:tcW w:type="dxa" w:w="1275"/>
            <w:tcBorders>
              <w:top w:val="none" w:color="000000" w:sz="4"/>
              <w:left w:val="single" w:color="000000" w:sz="4"/>
              <w:bottom w:val="single" w:color="000000" w:sz="4"/>
              <w:right w:val="single" w:color="000000" w:sz="4"/>
            </w:tcBorders>
            <w:vAlign w:val="top"/>
          </w:tcPr>
          <w:p>
            <w:pPr>
              <w:jc w:val="center"/>
            </w:pPr>
            <w:r>
              <w:rPr>
                <w:sz w:val="21"/>
              </w:rPr>
              <w:t>票证号</w:t>
            </w:r>
          </w:p>
        </w:tc>
        <w:tc>
          <w:tcPr>
            <w:tcW w:type="dxa" w:w="2580"/>
            <w:gridSpan w:val="2"/>
            <w:tcBorders>
              <w:top w:val="none" w:color="000000" w:sz="4"/>
              <w:left w:val="single" w:color="000000" w:sz="4"/>
              <w:bottom w:val="single" w:color="000000" w:sz="4"/>
              <w:right w:val="single" w:color="000000" w:sz="4"/>
            </w:tcBorders>
            <w:vAlign w:val="top"/>
          </w:tcPr>
          <w:p>
            <w:pPr>
              <w:jc w:val="center"/>
            </w:pP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验收</w:t>
            </w:r>
          </w:p>
          <w:p>
            <w:pPr>
              <w:jc w:val="center"/>
            </w:pPr>
            <w:r>
              <w:rPr>
                <w:sz w:val="21"/>
              </w:rPr>
              <w:t>情况</w:t>
            </w:r>
          </w:p>
        </w:tc>
        <w:tc>
          <w:tcPr>
            <w:tcW w:type="dxa" w:w="6510"/>
            <w:gridSpan w:val="6"/>
            <w:tcBorders>
              <w:top w:val="none" w:color="000000" w:sz="4"/>
              <w:left w:val="single" w:color="000000" w:sz="4"/>
              <w:bottom w:val="single" w:color="000000" w:sz="4"/>
              <w:right w:val="single" w:color="000000" w:sz="4"/>
            </w:tcBorders>
            <w:vAlign w:val="top"/>
          </w:tcPr>
          <w:p>
            <w:pPr>
              <w:jc w:val="center"/>
            </w:pPr>
          </w:p>
          <w:p>
            <w:pPr>
              <w:jc w:val="both"/>
            </w:pPr>
          </w:p>
        </w:tc>
      </w:tr>
      <w:tr>
        <w:tc>
          <w:tcPr>
            <w:tcW w:type="dxa" w:w="1785"/>
            <w:gridSpan w:val="2"/>
            <w:tcBorders>
              <w:top w:val="none" w:color="000000" w:sz="4"/>
              <w:left w:val="single" w:color="000000" w:sz="4"/>
              <w:bottom w:val="single" w:color="000000" w:sz="4"/>
              <w:right w:val="single" w:color="000000" w:sz="4"/>
            </w:tcBorders>
            <w:vAlign w:val="top"/>
          </w:tcPr>
          <w:p>
            <w:pPr>
              <w:jc w:val="center"/>
            </w:pPr>
            <w:r>
              <w:rPr>
                <w:sz w:val="21"/>
              </w:rPr>
              <w:t>验收人签名</w:t>
            </w:r>
          </w:p>
        </w:tc>
        <w:tc>
          <w:tcPr>
            <w:tcW w:type="dxa" w:w="5640"/>
            <w:gridSpan w:val="5"/>
            <w:tcBorders>
              <w:top w:val="none" w:color="000000" w:sz="4"/>
              <w:left w:val="single" w:color="000000" w:sz="4"/>
              <w:bottom w:val="single" w:color="000000" w:sz="4"/>
              <w:right w:val="single" w:color="000000" w:sz="4"/>
            </w:tcBorders>
            <w:vAlign w:val="top"/>
          </w:tcPr>
          <w:p>
            <w:pPr>
              <w:jc w:val="both"/>
            </w:pPr>
          </w:p>
        </w:tc>
      </w:tr>
      <w:tr>
        <w:tc>
          <w:tcPr>
            <w:tcW w:type="dxa" w:w="1785"/>
            <w:gridSpan w:val="2"/>
            <w:tcBorders>
              <w:top w:val="none" w:color="000000" w:sz="4"/>
              <w:left w:val="single" w:color="000000" w:sz="4"/>
              <w:bottom w:val="single" w:color="000000" w:sz="4"/>
              <w:right w:val="single" w:color="000000" w:sz="4"/>
            </w:tcBorders>
            <w:vAlign w:val="top"/>
          </w:tcPr>
          <w:p>
            <w:pPr>
              <w:jc w:val="center"/>
            </w:pPr>
            <w:r>
              <w:rPr>
                <w:sz w:val="21"/>
              </w:rPr>
              <w:t>供应商签名</w:t>
            </w:r>
          </w:p>
        </w:tc>
        <w:tc>
          <w:tcPr>
            <w:tcW w:type="dxa" w:w="5640"/>
            <w:gridSpan w:val="5"/>
            <w:tcBorders>
              <w:top w:val="none" w:color="000000" w:sz="4"/>
              <w:left w:val="single" w:color="000000" w:sz="4"/>
              <w:bottom w:val="single" w:color="000000" w:sz="4"/>
              <w:right w:val="single" w:color="000000" w:sz="4"/>
            </w:tcBorders>
            <w:vAlign w:val="top"/>
          </w:tcPr>
          <w:p>
            <w:pPr>
              <w:jc w:val="both"/>
            </w:pPr>
          </w:p>
        </w:tc>
      </w:tr>
    </w:tbl>
    <w:p>
      <w:pPr>
        <w:jc w:val="center"/>
      </w:pPr>
      <w:r>
        <w:rPr>
          <w:b/>
          <w:sz w:val="21"/>
        </w:rPr>
        <w:t>退货记录表</w:t>
      </w:r>
    </w:p>
    <w:p>
      <w:pPr>
        <w:ind w:firstLine="42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380"/>
        <w:gridCol w:w="1155"/>
        <w:gridCol w:w="870"/>
        <w:gridCol w:w="945"/>
        <w:gridCol w:w="660"/>
        <w:gridCol w:w="1020"/>
        <w:gridCol w:w="660"/>
        <w:gridCol w:w="960"/>
      </w:tblGrid>
      <w:tr>
        <w:tc>
          <w:tcPr>
            <w:tcW w:type="dxa" w:w="1380"/>
            <w:tcBorders>
              <w:top w:val="single" w:color="000000" w:sz="4"/>
              <w:left w:val="single" w:color="000000" w:sz="4"/>
              <w:bottom w:val="single" w:color="000000" w:sz="4"/>
              <w:right w:val="single" w:color="000000" w:sz="4"/>
            </w:tcBorders>
            <w:vAlign w:val="top"/>
          </w:tcPr>
          <w:p>
            <w:pPr>
              <w:jc w:val="center"/>
            </w:pPr>
            <w:r>
              <w:rPr>
                <w:sz w:val="21"/>
              </w:rPr>
              <w:t>供应商名称</w:t>
            </w:r>
          </w:p>
        </w:tc>
        <w:tc>
          <w:tcPr>
            <w:tcW w:type="dxa" w:w="1155"/>
            <w:tcBorders>
              <w:top w:val="single" w:color="000000" w:sz="4"/>
              <w:left w:val="single" w:color="000000" w:sz="4"/>
              <w:bottom w:val="single" w:color="000000" w:sz="4"/>
              <w:right w:val="single" w:color="000000" w:sz="4"/>
            </w:tcBorders>
            <w:vAlign w:val="top"/>
          </w:tcPr>
          <w:p>
            <w:pPr>
              <w:jc w:val="center"/>
            </w:pPr>
          </w:p>
        </w:tc>
        <w:tc>
          <w:tcPr>
            <w:tcW w:type="dxa" w:w="870"/>
            <w:tcBorders>
              <w:top w:val="single" w:color="000000" w:sz="4"/>
              <w:left w:val="single" w:color="000000" w:sz="4"/>
              <w:bottom w:val="single" w:color="000000" w:sz="4"/>
              <w:right w:val="single" w:color="000000" w:sz="4"/>
            </w:tcBorders>
            <w:vAlign w:val="top"/>
          </w:tcPr>
          <w:p>
            <w:pPr>
              <w:jc w:val="center"/>
            </w:pPr>
            <w:r>
              <w:rPr>
                <w:sz w:val="21"/>
              </w:rPr>
              <w:t>产品</w:t>
            </w:r>
          </w:p>
          <w:p>
            <w:pPr>
              <w:jc w:val="center"/>
            </w:pPr>
            <w:r>
              <w:rPr>
                <w:sz w:val="21"/>
              </w:rPr>
              <w:t>名称</w:t>
            </w:r>
          </w:p>
        </w:tc>
        <w:tc>
          <w:tcPr>
            <w:tcW w:type="dxa" w:w="945"/>
            <w:tcBorders>
              <w:top w:val="single" w:color="000000" w:sz="4"/>
              <w:left w:val="single" w:color="000000" w:sz="4"/>
              <w:bottom w:val="single" w:color="000000" w:sz="4"/>
              <w:right w:val="single" w:color="000000" w:sz="4"/>
            </w:tcBorders>
            <w:vAlign w:val="top"/>
          </w:tcPr>
          <w:p>
            <w:pPr>
              <w:jc w:val="center"/>
            </w:pPr>
          </w:p>
        </w:tc>
        <w:tc>
          <w:tcPr>
            <w:tcW w:type="dxa" w:w="660"/>
            <w:tcBorders>
              <w:top w:val="single" w:color="000000" w:sz="4"/>
              <w:left w:val="single" w:color="000000" w:sz="4"/>
              <w:bottom w:val="single" w:color="000000" w:sz="4"/>
              <w:right w:val="single" w:color="000000" w:sz="4"/>
            </w:tcBorders>
            <w:vAlign w:val="top"/>
          </w:tcPr>
          <w:p>
            <w:pPr>
              <w:jc w:val="center"/>
            </w:pPr>
            <w:r>
              <w:rPr>
                <w:sz w:val="21"/>
              </w:rPr>
              <w:t>进货</w:t>
            </w:r>
          </w:p>
          <w:p>
            <w:pPr>
              <w:jc w:val="center"/>
            </w:pPr>
            <w:r>
              <w:rPr>
                <w:sz w:val="21"/>
              </w:rPr>
              <w:t>日期</w:t>
            </w:r>
          </w:p>
        </w:tc>
        <w:tc>
          <w:tcPr>
            <w:tcW w:type="dxa" w:w="1020"/>
            <w:tcBorders>
              <w:top w:val="single" w:color="000000" w:sz="4"/>
              <w:left w:val="single" w:color="000000" w:sz="4"/>
              <w:bottom w:val="single" w:color="000000" w:sz="4"/>
              <w:right w:val="single" w:color="000000" w:sz="4"/>
            </w:tcBorders>
            <w:vAlign w:val="top"/>
          </w:tcPr>
          <w:p>
            <w:pPr>
              <w:jc w:val="center"/>
            </w:pPr>
          </w:p>
        </w:tc>
        <w:tc>
          <w:tcPr>
            <w:tcW w:type="dxa" w:w="660"/>
            <w:tcBorders>
              <w:top w:val="single" w:color="000000" w:sz="4"/>
              <w:left w:val="single" w:color="000000" w:sz="4"/>
              <w:bottom w:val="single" w:color="000000" w:sz="4"/>
              <w:right w:val="single" w:color="000000" w:sz="4"/>
            </w:tcBorders>
            <w:vAlign w:val="top"/>
          </w:tcPr>
          <w:p>
            <w:pPr>
              <w:jc w:val="center"/>
            </w:pPr>
            <w:r>
              <w:rPr>
                <w:sz w:val="21"/>
              </w:rPr>
              <w:t>进货</w:t>
            </w:r>
          </w:p>
          <w:p>
            <w:pPr>
              <w:jc w:val="center"/>
            </w:pPr>
            <w:r>
              <w:rPr>
                <w:sz w:val="21"/>
              </w:rPr>
              <w:t>数量</w:t>
            </w:r>
          </w:p>
        </w:tc>
        <w:tc>
          <w:tcPr>
            <w:tcW w:type="dxa" w:w="960"/>
            <w:tcBorders>
              <w:top w:val="single" w:color="000000" w:sz="4"/>
              <w:left w:val="single" w:color="000000" w:sz="4"/>
              <w:bottom w:val="single" w:color="000000" w:sz="4"/>
              <w:right w:val="single" w:color="000000" w:sz="4"/>
            </w:tcBorders>
            <w:vAlign w:val="top"/>
          </w:tcPr>
          <w:p>
            <w:pPr>
              <w:jc w:val="center"/>
            </w:pPr>
          </w:p>
        </w:tc>
      </w:tr>
      <w:tr>
        <w:tc>
          <w:tcPr>
            <w:tcW w:type="dxa" w:w="1380"/>
            <w:tcBorders>
              <w:top w:val="none" w:color="000000" w:sz="4"/>
              <w:left w:val="single" w:color="000000" w:sz="4"/>
              <w:bottom w:val="single" w:color="000000" w:sz="4"/>
              <w:right w:val="single" w:color="000000" w:sz="4"/>
            </w:tcBorders>
            <w:vAlign w:val="top"/>
          </w:tcPr>
          <w:p>
            <w:pPr>
              <w:jc w:val="center"/>
            </w:pPr>
            <w:r>
              <w:rPr>
                <w:sz w:val="21"/>
              </w:rPr>
              <w:t>生产商名称</w:t>
            </w:r>
          </w:p>
        </w:tc>
        <w:tc>
          <w:tcPr>
            <w:tcW w:type="dxa" w:w="1155"/>
            <w:tcBorders>
              <w:top w:val="none" w:color="000000" w:sz="4"/>
              <w:left w:val="single" w:color="000000" w:sz="4"/>
              <w:bottom w:val="single" w:color="000000" w:sz="4"/>
              <w:right w:val="single" w:color="000000" w:sz="4"/>
            </w:tcBorders>
            <w:vAlign w:val="top"/>
          </w:tcPr>
          <w:p>
            <w:pPr>
              <w:jc w:val="center"/>
            </w:pPr>
          </w:p>
        </w:tc>
        <w:tc>
          <w:tcPr>
            <w:tcW w:type="dxa" w:w="870"/>
            <w:tcBorders>
              <w:top w:val="none" w:color="000000" w:sz="4"/>
              <w:left w:val="single" w:color="000000" w:sz="4"/>
              <w:bottom w:val="single" w:color="000000" w:sz="4"/>
              <w:right w:val="single" w:color="000000" w:sz="4"/>
            </w:tcBorders>
            <w:vAlign w:val="top"/>
          </w:tcPr>
          <w:p>
            <w:pPr>
              <w:jc w:val="center"/>
            </w:pPr>
            <w:r>
              <w:rPr>
                <w:sz w:val="21"/>
              </w:rPr>
              <w:t>验收部门</w:t>
            </w:r>
          </w:p>
        </w:tc>
        <w:tc>
          <w:tcPr>
            <w:tcW w:type="dxa" w:w="945"/>
            <w:tcBorders>
              <w:top w:val="none" w:color="000000" w:sz="4"/>
              <w:left w:val="single" w:color="000000" w:sz="4"/>
              <w:bottom w:val="single" w:color="000000" w:sz="4"/>
              <w:right w:val="single" w:color="000000" w:sz="4"/>
            </w:tcBorders>
            <w:vAlign w:val="top"/>
          </w:tcPr>
          <w:p>
            <w:pPr>
              <w:jc w:val="center"/>
            </w:pPr>
          </w:p>
        </w:tc>
        <w:tc>
          <w:tcPr>
            <w:tcW w:type="dxa" w:w="660"/>
            <w:tcBorders>
              <w:top w:val="none" w:color="000000" w:sz="4"/>
              <w:left w:val="single" w:color="000000" w:sz="4"/>
              <w:bottom w:val="single" w:color="000000" w:sz="4"/>
              <w:right w:val="single" w:color="000000" w:sz="4"/>
            </w:tcBorders>
            <w:vAlign w:val="top"/>
          </w:tcPr>
          <w:p>
            <w:pPr>
              <w:jc w:val="center"/>
            </w:pPr>
            <w:r>
              <w:rPr>
                <w:sz w:val="21"/>
              </w:rPr>
              <w:t>验收时间</w:t>
            </w:r>
          </w:p>
        </w:tc>
        <w:tc>
          <w:tcPr>
            <w:tcW w:type="dxa" w:w="1020"/>
            <w:tcBorders>
              <w:top w:val="none" w:color="000000" w:sz="4"/>
              <w:left w:val="single" w:color="000000" w:sz="4"/>
              <w:bottom w:val="single" w:color="000000" w:sz="4"/>
              <w:right w:val="single" w:color="000000" w:sz="4"/>
            </w:tcBorders>
            <w:vAlign w:val="top"/>
          </w:tcPr>
          <w:p>
            <w:pPr>
              <w:jc w:val="center"/>
            </w:pPr>
          </w:p>
        </w:tc>
        <w:tc>
          <w:tcPr>
            <w:tcW w:type="dxa" w:w="660"/>
            <w:tcBorders>
              <w:top w:val="none" w:color="000000" w:sz="4"/>
              <w:left w:val="single" w:color="000000" w:sz="4"/>
              <w:bottom w:val="single" w:color="000000" w:sz="4"/>
              <w:right w:val="single" w:color="000000" w:sz="4"/>
            </w:tcBorders>
            <w:vAlign w:val="top"/>
          </w:tcPr>
          <w:p>
            <w:pPr>
              <w:jc w:val="center"/>
            </w:pPr>
            <w:r>
              <w:rPr>
                <w:sz w:val="21"/>
              </w:rPr>
              <w:t>退货数量</w:t>
            </w:r>
          </w:p>
        </w:tc>
        <w:tc>
          <w:tcPr>
            <w:tcW w:type="dxa" w:w="960"/>
            <w:tcBorders>
              <w:top w:val="none" w:color="000000" w:sz="4"/>
              <w:left w:val="single" w:color="000000" w:sz="4"/>
              <w:bottom w:val="single" w:color="000000" w:sz="4"/>
              <w:right w:val="single" w:color="000000" w:sz="4"/>
            </w:tcBorders>
            <w:vAlign w:val="top"/>
          </w:tcPr>
          <w:p>
            <w:pPr>
              <w:jc w:val="center"/>
            </w:pPr>
          </w:p>
        </w:tc>
      </w:tr>
      <w:tr>
        <w:tc>
          <w:tcPr>
            <w:tcW w:type="dxa" w:w="1380"/>
            <w:tcBorders>
              <w:top w:val="none" w:color="000000" w:sz="4"/>
              <w:left w:val="single" w:color="000000" w:sz="4"/>
              <w:bottom w:val="single" w:color="000000" w:sz="4"/>
              <w:right w:val="single" w:color="000000" w:sz="4"/>
            </w:tcBorders>
            <w:vAlign w:val="top"/>
          </w:tcPr>
          <w:p>
            <w:pPr>
              <w:jc w:val="center"/>
            </w:pPr>
            <w:r>
              <w:rPr>
                <w:sz w:val="21"/>
              </w:rPr>
              <w:t>退货</w:t>
            </w:r>
          </w:p>
          <w:p>
            <w:pPr>
              <w:jc w:val="center"/>
            </w:pPr>
            <w:r>
              <w:rPr>
                <w:sz w:val="21"/>
              </w:rPr>
              <w:t>原因</w:t>
            </w:r>
          </w:p>
        </w:tc>
        <w:tc>
          <w:tcPr>
            <w:tcW w:type="dxa" w:w="6270"/>
            <w:gridSpan w:val="7"/>
            <w:tcBorders>
              <w:top w:val="none" w:color="000000" w:sz="4"/>
              <w:left w:val="single" w:color="000000" w:sz="4"/>
              <w:bottom w:val="single" w:color="000000" w:sz="4"/>
              <w:right w:val="single" w:color="000000" w:sz="4"/>
            </w:tcBorders>
            <w:vAlign w:val="top"/>
          </w:tcPr>
          <w:p>
            <w:pPr>
              <w:jc w:val="center"/>
            </w:pPr>
          </w:p>
          <w:p>
            <w:pPr>
              <w:jc w:val="center"/>
            </w:pPr>
          </w:p>
        </w:tc>
      </w:tr>
      <w:tr>
        <w:tc>
          <w:tcPr>
            <w:tcW w:type="dxa" w:w="1380"/>
            <w:tcBorders>
              <w:top w:val="none" w:color="000000" w:sz="4"/>
              <w:left w:val="single" w:color="000000" w:sz="4"/>
              <w:bottom w:val="single" w:color="000000" w:sz="4"/>
              <w:right w:val="single" w:color="000000" w:sz="4"/>
            </w:tcBorders>
            <w:vAlign w:val="top"/>
          </w:tcPr>
          <w:p>
            <w:pPr>
              <w:jc w:val="center"/>
            </w:pPr>
            <w:r>
              <w:rPr>
                <w:sz w:val="21"/>
              </w:rPr>
              <w:t>退货</w:t>
            </w:r>
          </w:p>
          <w:p>
            <w:pPr>
              <w:jc w:val="center"/>
            </w:pPr>
            <w:r>
              <w:rPr>
                <w:sz w:val="21"/>
              </w:rPr>
              <w:t>申请人</w:t>
            </w:r>
          </w:p>
        </w:tc>
        <w:tc>
          <w:tcPr>
            <w:tcW w:type="dxa" w:w="2025"/>
            <w:gridSpan w:val="2"/>
            <w:tcBorders>
              <w:top w:val="none" w:color="000000" w:sz="4"/>
              <w:left w:val="single" w:color="000000" w:sz="4"/>
              <w:bottom w:val="single" w:color="000000" w:sz="4"/>
              <w:right w:val="single" w:color="000000" w:sz="4"/>
            </w:tcBorders>
            <w:vAlign w:val="top"/>
          </w:tcPr>
          <w:p>
            <w:pPr>
              <w:jc w:val="center"/>
            </w:pPr>
          </w:p>
          <w:p>
            <w:pPr>
              <w:jc w:val="center"/>
            </w:pPr>
          </w:p>
        </w:tc>
        <w:tc>
          <w:tcPr>
            <w:tcW w:type="dxa" w:w="1605"/>
            <w:gridSpan w:val="2"/>
            <w:vMerge w:val="restart"/>
            <w:tcBorders>
              <w:top w:val="single" w:color="000000" w:sz="4"/>
              <w:left w:val="single" w:color="000000" w:sz="4"/>
              <w:bottom w:val="single" w:color="000000" w:sz="4"/>
              <w:right w:val="single" w:color="000000" w:sz="4"/>
            </w:tcBorders>
            <w:vAlign w:val="top"/>
          </w:tcPr>
          <w:p>
            <w:pPr>
              <w:jc w:val="center"/>
            </w:pPr>
            <w:r>
              <w:rPr>
                <w:sz w:val="21"/>
              </w:rPr>
              <w:t>后勤部门</w:t>
            </w:r>
          </w:p>
          <w:p>
            <w:pPr>
              <w:jc w:val="center"/>
            </w:pPr>
            <w:r>
              <w:rPr>
                <w:sz w:val="21"/>
              </w:rPr>
              <w:t>意见</w:t>
            </w:r>
          </w:p>
        </w:tc>
        <w:tc>
          <w:tcPr>
            <w:tcW w:type="dxa" w:w="2640"/>
            <w:gridSpan w:val="3"/>
            <w:vMerge w:val="restart"/>
            <w:tcBorders>
              <w:top w:val="single" w:color="000000" w:sz="4"/>
              <w:left w:val="single" w:color="000000" w:sz="4"/>
              <w:bottom w:val="single" w:color="000000" w:sz="4"/>
              <w:right w:val="single" w:color="000000" w:sz="4"/>
            </w:tcBorders>
            <w:vAlign w:val="bottom"/>
          </w:tcPr>
          <w:p>
            <w:pPr>
              <w:jc w:val="right"/>
            </w:pPr>
          </w:p>
          <w:p>
            <w:pPr>
              <w:jc w:val="right"/>
            </w:pPr>
          </w:p>
          <w:p>
            <w:pPr>
              <w:jc w:val="right"/>
            </w:pPr>
            <w:r>
              <w:rPr>
                <w:sz w:val="21"/>
              </w:rPr>
              <w:t>签名：</w:t>
            </w:r>
            <w:r>
              <w:rPr>
                <w:sz w:val="21"/>
              </w:rPr>
              <w:t xml:space="preserve">      </w:t>
            </w:r>
          </w:p>
          <w:p>
            <w:pPr>
              <w:jc w:val="right"/>
            </w:pPr>
            <w:r>
              <w:rPr>
                <w:sz w:val="21"/>
              </w:rPr>
              <w:t>年</w:t>
            </w:r>
            <w:r>
              <w:rPr>
                <w:sz w:val="21"/>
              </w:rPr>
              <w:t xml:space="preserve"> </w:t>
            </w:r>
            <w:r>
              <w:rPr>
                <w:sz w:val="21"/>
              </w:rPr>
              <w:t>月</w:t>
            </w:r>
            <w:r>
              <w:rPr>
                <w:sz w:val="21"/>
              </w:rPr>
              <w:t xml:space="preserve"> </w:t>
            </w:r>
            <w:r>
              <w:rPr>
                <w:sz w:val="21"/>
              </w:rPr>
              <w:t>日</w:t>
            </w:r>
          </w:p>
        </w:tc>
      </w:tr>
      <w:tr>
        <w:tc>
          <w:tcPr>
            <w:tcW w:type="dxa" w:w="1380"/>
            <w:tcBorders>
              <w:top w:val="none" w:color="000000" w:sz="4"/>
              <w:left w:val="single" w:color="000000" w:sz="4"/>
              <w:bottom w:val="single" w:color="000000" w:sz="4"/>
              <w:right w:val="single" w:color="000000" w:sz="4"/>
            </w:tcBorders>
            <w:vAlign w:val="top"/>
          </w:tcPr>
          <w:p>
            <w:pPr>
              <w:jc w:val="center"/>
            </w:pPr>
            <w:r>
              <w:rPr>
                <w:sz w:val="21"/>
              </w:rPr>
              <w:t>供应商签名</w:t>
            </w:r>
          </w:p>
        </w:tc>
        <w:tc>
          <w:tcPr>
            <w:tcW w:type="dxa" w:w="2025"/>
            <w:gridSpan w:val="2"/>
            <w:tcBorders>
              <w:top w:val="none" w:color="000000" w:sz="4"/>
              <w:left w:val="single" w:color="000000" w:sz="4"/>
              <w:bottom w:val="single" w:color="000000" w:sz="4"/>
              <w:right w:val="single" w:color="000000" w:sz="4"/>
            </w:tcBorders>
            <w:vAlign w:val="top"/>
          </w:tcPr>
          <w:p>
            <w:pPr>
              <w:jc w:val="center"/>
            </w:pPr>
          </w:p>
          <w:p>
            <w:pPr>
              <w:jc w:val="center"/>
            </w:pPr>
          </w:p>
        </w:tc>
      </w:tr>
      <w:tr>
        <w:tc>
          <w:tcPr>
            <w:tcW w:type="dxa" w:w="3405"/>
            <w:gridSpan w:val="3"/>
            <w:tcBorders>
              <w:top w:val="none" w:color="000000" w:sz="4"/>
              <w:left w:val="single" w:color="000000" w:sz="4"/>
              <w:bottom w:val="single" w:color="000000" w:sz="4"/>
              <w:right w:val="single" w:color="000000" w:sz="4"/>
            </w:tcBorders>
            <w:vAlign w:val="top"/>
          </w:tcPr>
          <w:p>
            <w:pPr>
              <w:jc w:val="center"/>
            </w:pPr>
            <w:r>
              <w:rPr>
                <w:sz w:val="21"/>
              </w:rPr>
              <w:t>采购人单位领导意见</w:t>
            </w:r>
          </w:p>
        </w:tc>
        <w:tc>
          <w:tcPr>
            <w:tcW w:type="dxa" w:w="4245"/>
            <w:gridSpan w:val="5"/>
            <w:tcBorders>
              <w:top w:val="none" w:color="000000" w:sz="4"/>
              <w:left w:val="single" w:color="000000" w:sz="4"/>
              <w:bottom w:val="single" w:color="000000" w:sz="4"/>
              <w:right w:val="single" w:color="000000" w:sz="4"/>
            </w:tcBorders>
            <w:vAlign w:val="top"/>
          </w:tcPr>
          <w:p>
            <w:pPr>
              <w:jc w:val="both"/>
            </w:pPr>
          </w:p>
          <w:p>
            <w:pPr>
              <w:jc w:val="right"/>
            </w:pPr>
            <w:r>
              <w:rPr>
                <w:sz w:val="21"/>
              </w:rPr>
              <w:t>签名：</w:t>
            </w:r>
            <w:r>
              <w:rPr>
                <w:sz w:val="21"/>
              </w:rPr>
              <w:t xml:space="preserve">      </w:t>
            </w:r>
          </w:p>
          <w:p>
            <w:pPr>
              <w:jc w:val="right"/>
            </w:pPr>
            <w:r>
              <w:rPr>
                <w:sz w:val="21"/>
              </w:rPr>
              <w:t>年</w:t>
            </w:r>
            <w:r>
              <w:rPr>
                <w:sz w:val="21"/>
              </w:rPr>
              <w:t xml:space="preserve"> </w:t>
            </w:r>
            <w:r>
              <w:rPr>
                <w:sz w:val="21"/>
              </w:rPr>
              <w:t>月</w:t>
            </w:r>
            <w:r>
              <w:rPr>
                <w:sz w:val="21"/>
              </w:rPr>
              <w:t xml:space="preserve"> </w:t>
            </w:r>
            <w:r>
              <w:rPr>
                <w:sz w:val="21"/>
              </w:rPr>
              <w:t>日</w:t>
            </w:r>
          </w:p>
        </w:tc>
      </w:tr>
    </w:tbl>
    <w:p>
      <w:pPr>
        <w:ind w:firstLine="420"/>
        <w:jc w:val="right"/>
      </w:pPr>
      <w:r>
        <w:rPr>
          <w:sz w:val="21"/>
        </w:rPr>
        <w:t>采购人留存联</w:t>
      </w:r>
    </w:p>
    <w:p>
      <w:pPr>
        <w:jc w:val="center"/>
      </w:pPr>
      <w:r>
        <w:rPr>
          <w:b/>
          <w:sz w:val="21"/>
        </w:rPr>
        <w:t>民警餐厅食材供应情况记录</w:t>
      </w:r>
    </w:p>
    <w:p>
      <w:pPr>
        <w:jc w:val="center"/>
      </w:pPr>
    </w:p>
    <w:p>
      <w:pPr>
        <w:ind w:firstLine="420"/>
        <w:jc w:val="both"/>
      </w:pPr>
      <w:r>
        <w:rPr>
          <w:sz w:val="21"/>
        </w:rPr>
        <w:t>单位：</w:t>
      </w:r>
      <w:r>
        <w:rPr>
          <w:sz w:val="21"/>
        </w:rPr>
        <w:t xml:space="preserve">                          </w:t>
      </w:r>
      <w:r>
        <w:rPr>
          <w:sz w:val="21"/>
        </w:rPr>
        <w:t>填报日期：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605"/>
        <w:gridCol w:w="1185"/>
        <w:gridCol w:w="2505"/>
        <w:gridCol w:w="2730"/>
      </w:tblGrid>
      <w:tr>
        <w:tc>
          <w:tcPr>
            <w:tcW w:type="dxa" w:w="1605"/>
            <w:tcBorders>
              <w:top w:val="single" w:color="000000" w:sz="4"/>
              <w:left w:val="single" w:color="000000" w:sz="4"/>
              <w:bottom w:val="single" w:color="000000" w:sz="4"/>
              <w:right w:val="single" w:color="000000" w:sz="4"/>
            </w:tcBorders>
            <w:vAlign w:val="top"/>
          </w:tcPr>
          <w:p>
            <w:pPr>
              <w:jc w:val="center"/>
            </w:pPr>
            <w:r>
              <w:rPr>
                <w:b/>
                <w:sz w:val="21"/>
              </w:rPr>
              <w:t>项</w:t>
            </w:r>
            <w:r>
              <w:rPr>
                <w:b/>
                <w:sz w:val="21"/>
              </w:rPr>
              <w:t xml:space="preserve"> </w:t>
            </w:r>
            <w:r>
              <w:rPr>
                <w:b/>
                <w:sz w:val="21"/>
              </w:rPr>
              <w:t>目</w:t>
            </w:r>
          </w:p>
        </w:tc>
        <w:tc>
          <w:tcPr>
            <w:tcW w:type="dxa" w:w="1185"/>
            <w:tcBorders>
              <w:top w:val="single" w:color="000000" w:sz="4"/>
              <w:left w:val="single" w:color="000000" w:sz="4"/>
              <w:bottom w:val="single" w:color="000000" w:sz="4"/>
              <w:right w:val="single" w:color="000000" w:sz="4"/>
            </w:tcBorders>
            <w:vAlign w:val="top"/>
          </w:tcPr>
          <w:p>
            <w:pPr>
              <w:jc w:val="center"/>
            </w:pPr>
            <w:r>
              <w:rPr>
                <w:b/>
                <w:sz w:val="21"/>
              </w:rPr>
              <w:t>供应商</w:t>
            </w:r>
          </w:p>
        </w:tc>
        <w:tc>
          <w:tcPr>
            <w:tcW w:type="dxa" w:w="2505"/>
            <w:tcBorders>
              <w:top w:val="single" w:color="000000" w:sz="4"/>
              <w:left w:val="single" w:color="000000" w:sz="4"/>
              <w:bottom w:val="single" w:color="000000" w:sz="4"/>
              <w:right w:val="single" w:color="000000" w:sz="4"/>
            </w:tcBorders>
            <w:vAlign w:val="top"/>
          </w:tcPr>
          <w:p>
            <w:pPr>
              <w:jc w:val="center"/>
            </w:pPr>
            <w:r>
              <w:rPr>
                <w:b/>
                <w:sz w:val="21"/>
              </w:rPr>
              <w:t>供应情况</w:t>
            </w:r>
          </w:p>
        </w:tc>
        <w:tc>
          <w:tcPr>
            <w:tcW w:type="dxa" w:w="2730"/>
            <w:tcBorders>
              <w:top w:val="single" w:color="000000" w:sz="4"/>
              <w:left w:val="single" w:color="000000" w:sz="4"/>
              <w:bottom w:val="single" w:color="000000" w:sz="4"/>
              <w:right w:val="single" w:color="000000" w:sz="4"/>
            </w:tcBorders>
            <w:vAlign w:val="top"/>
          </w:tcPr>
          <w:p>
            <w:pPr>
              <w:jc w:val="center"/>
            </w:pPr>
            <w:r>
              <w:rPr>
                <w:b/>
                <w:sz w:val="21"/>
              </w:rPr>
              <w:t>意见和建议</w:t>
            </w: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猪肉类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牛肉类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家禽类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冰鲜类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鱼类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蔬菜类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水果类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熟食</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大米</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油类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蛋类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面、粉、</w:t>
            </w:r>
            <w:r>
              <w:rPr>
                <w:sz w:val="21"/>
              </w:rPr>
              <w:t>豆</w:t>
            </w:r>
            <w:r>
              <w:rPr>
                <w:sz w:val="21"/>
              </w:rPr>
              <w:t>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干货、调</w:t>
            </w:r>
            <w:r>
              <w:rPr>
                <w:sz w:val="21"/>
              </w:rPr>
              <w:t>味</w:t>
            </w:r>
            <w:r>
              <w:rPr>
                <w:sz w:val="21"/>
              </w:rPr>
              <w:t>类</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r>
        <w:tc>
          <w:tcPr>
            <w:tcW w:type="dxa" w:w="1605"/>
            <w:tcBorders>
              <w:top w:val="none" w:color="000000" w:sz="4"/>
              <w:left w:val="single" w:color="000000" w:sz="4"/>
              <w:bottom w:val="single" w:color="000000" w:sz="4"/>
              <w:right w:val="single" w:color="000000" w:sz="4"/>
            </w:tcBorders>
            <w:vAlign w:val="top"/>
          </w:tcPr>
          <w:p>
            <w:pPr>
              <w:jc w:val="center"/>
            </w:pPr>
            <w:r>
              <w:rPr>
                <w:sz w:val="21"/>
              </w:rPr>
              <w:t>奶制品</w:t>
            </w:r>
          </w:p>
        </w:tc>
        <w:tc>
          <w:tcPr>
            <w:tcW w:type="dxa" w:w="1185"/>
            <w:tcBorders>
              <w:top w:val="none" w:color="000000" w:sz="4"/>
              <w:left w:val="single" w:color="000000" w:sz="4"/>
              <w:bottom w:val="single" w:color="000000" w:sz="4"/>
              <w:right w:val="single" w:color="000000" w:sz="4"/>
            </w:tcBorders>
            <w:vAlign w:val="top"/>
          </w:tcPr>
          <w:p>
            <w:pPr>
              <w:jc w:val="both"/>
            </w:pPr>
          </w:p>
        </w:tc>
        <w:tc>
          <w:tcPr>
            <w:tcW w:type="dxa" w:w="2505"/>
            <w:tcBorders>
              <w:top w:val="none" w:color="000000" w:sz="4"/>
              <w:left w:val="single" w:color="000000" w:sz="4"/>
              <w:bottom w:val="single" w:color="000000" w:sz="4"/>
              <w:right w:val="single" w:color="000000" w:sz="4"/>
            </w:tcBorders>
            <w:vAlign w:val="top"/>
          </w:tcPr>
          <w:p>
            <w:pPr>
              <w:jc w:val="both"/>
            </w:pPr>
          </w:p>
        </w:tc>
        <w:tc>
          <w:tcPr>
            <w:tcW w:type="dxa" w:w="2730"/>
            <w:tcBorders>
              <w:top w:val="none" w:color="000000" w:sz="4"/>
              <w:left w:val="single" w:color="000000" w:sz="4"/>
              <w:bottom w:val="single" w:color="000000" w:sz="4"/>
              <w:right w:val="single" w:color="000000" w:sz="4"/>
            </w:tcBorders>
            <w:vAlign w:val="top"/>
          </w:tcPr>
          <w:p>
            <w:pPr>
              <w:jc w:val="both"/>
            </w:pPr>
          </w:p>
        </w:tc>
      </w:tr>
    </w:tbl>
    <w:p>
      <w:pPr>
        <w:jc w:val="center"/>
      </w:pPr>
      <w:r>
        <w:rPr>
          <w:sz w:val="21"/>
        </w:rPr>
        <w:t>后勤部门：</w:t>
      </w:r>
      <w:r>
        <w:rPr>
          <w:sz w:val="21"/>
        </w:rPr>
        <w:t xml:space="preserve">       </w:t>
      </w:r>
      <w:r>
        <w:rPr>
          <w:sz w:val="21"/>
        </w:rPr>
        <w:t>采购人单位领导：</w:t>
      </w:r>
      <w:r>
        <w:rPr>
          <w:sz w:val="21"/>
        </w:rPr>
        <w:t xml:space="preserve">     </w:t>
      </w:r>
      <w:r>
        <w:rPr>
          <w:sz w:val="21"/>
        </w:rPr>
        <w:t>填报人：</w:t>
      </w:r>
    </w:p>
    <w:p/>
    <w:p>
      <w:pPr>
        <w:ind w:firstLine="480"/>
      </w:pPr>
    </w:p>
    <w:p/>
    <w:p>
      <w:r>
        <w:rPr/>
        <w:t>采购包1（2024年-2026年民警餐厅食材配送项目）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★供货服务期2年（具体起始日期以合同约定为准）。</w:t>
            </w:r>
          </w:p>
        </w:tc>
      </w:tr>
      <w:tr>
        <w:tc>
          <w:tcPr>
            <w:tcW w:type="dxa" w:w="4153"/>
          </w:tcPr>
          <w:p>
            <w:r>
              <w:rPr/>
              <w:t>标的提供的地点</w:t>
            </w:r>
          </w:p>
        </w:tc>
        <w:tc>
          <w:tcPr>
            <w:tcW w:type="dxa" w:w="4153"/>
          </w:tcPr>
          <w:p/>
          <w:p>
            <w:r>
              <w:rPr/>
              <w:t>★采购人指定地点（佛山市内）</w:t>
            </w:r>
          </w:p>
        </w:tc>
      </w:tr>
      <w:tr>
        <w:tc>
          <w:tcPr>
            <w:tcW w:type="dxa" w:w="4153"/>
          </w:tcPr>
          <w:p>
            <w:r>
              <w:rPr/>
              <w:t>付款方式</w:t>
            </w:r>
          </w:p>
        </w:tc>
        <w:tc>
          <w:tcPr>
            <w:tcW w:type="dxa" w:w="4153"/>
          </w:tcPr>
          <w:p/>
          <w:p/>
          <w:p>
            <w:r>
              <w:rPr/>
              <w:t>1期：支付比例100%,★1.中标人货款按月度进行结算，于次月10日前凭国家正式发票向采购人申请付款，采购人收到申请后在10个工作天内按实支付上月结算货款给中标人（遇节假日顺延），每月的结算金额＝（汇总各类配送食材）每日的结算金额合计-扣罚款合计（如有）。 2.每期货款的结算，需由中标人提出书面申请并提供该期货款相应金额的发票及该期货物确认收货确认清单（加盖采购人公章），采购人办理支付手续。</w:t>
            </w:r>
          </w:p>
        </w:tc>
      </w:tr>
      <w:tr>
        <w:tc>
          <w:tcPr>
            <w:tcW w:type="dxa" w:w="4153"/>
          </w:tcPr>
          <w:p>
            <w:r>
              <w:rPr/>
              <w:t>验收要求</w:t>
            </w:r>
          </w:p>
        </w:tc>
        <w:tc>
          <w:tcPr>
            <w:tcW w:type="dxa" w:w="4153"/>
          </w:tcPr>
          <w:p/>
          <w:p/>
          <w:p/>
          <w:p>
            <w:r>
              <w:rPr/>
              <w:t>1期：★验收要求： 1.冻肉类食材验收发现问题时的处理办法：按采购需求对食材质量进行抽查。 2.抽查发现食品安全质量问题的处理：对危及人身安全的食材质量问题采取零容忍措施，一经发现，当日所送同批次食材全部退货，如水产品中发现河豚鱼，发现腐败变质肉类等。若抽查未发现问题，而在加工食用前发现部分产品质量问题，应立即通知单位伙食物资验收小组及中标人，将问题食材退货处理。 3.抽查发现资质证照不全问题的处理：整批食材无政府部门出具的动植物检疫合格证明的全部退货； 抽查发现部分食材无政府部门出具的动植物检疫合格证明，加抽15%，两次抽查数50%以上没有动植物检疫合格证明的，全部退货；50%以下没有动植物检疫合格证明的，将无动植物检疫合格证明的食材退货；整批产品有省地市出具的动植物检疫合格证明，随箱食材合格证不齐全的，加抽15%，两次抽查数50%以上没有产品合格证的，全部退货；50%以下没有食材合格证明的，将无产品食材证明的食材退货；肉制品无疾病控制或质量技术监督部门出具的同类食材半年内有效检验报告，作退货处理；随箱食材合格证不齐全的，加抽15%，两次抽查数50%以上没有食材合格证的，全部退货；50%以下没有食材合格证明的，将无食材合格证明的食材退货。 4.食材重量验收： 4.1冻肉类：双方各随机抽取每品种货物一箱，去包装，在流动的10-25℃清水中浸泡解冻至表面冰层融化，个体能够分离为止，充分摊开食材沥水三分钟后称重，取双方抽取样本均值为该食材本批次食材的验收重量。 4.2水产类：双方各随机抽取每品种食材两箱，去包装，在流动的10-25℃清水中浸泡解冻至表面冰层融化，个体能够分离为止，充分摊开食材沥水三分钟后称重，取双方抽取样本均值为该食材本批次食材的验收重量。 4.3新鲜肉类、丸类、火腿、腊肠类等不含冰食材直接称重验收。 5.检验流程： 5.1一是要作好卸货前的检查。验收人员卸货前应对场地和验收设备做好准备，并对食材的外观质量进行初步了解。 5.2二是采取当场验收的方式，验收人必须认真检验食材的质量要求，按索证→过磅→入库的程序完成验收。 5.3三是必须进行抽查验收，抽查样本数视实际情况而定，一般不超过10%。  6.退（补）货流程：对不符合采购要求的食材由验收人员提出清退，退货前应实行留板备案，如双方对质量争议可送国家质监部门检测。对缺斤短两（或含水量超标）的应按实际重量扣减。出现退（补）货情况，应及时报告采购人。在退货过程中，对有碍公共卫生安全的蔬菜，应按国家有关规定处理或进行协议 销毁，而不是退货给中标人，所产生的费用由中标人自行承担。 7.验收记录：每次采购的食材都要登记记录，注明名称、数量等事项并在采购登记记录上签明意见和验收人的名字及日期。</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补充，1）合同款项的支付完毕并不意味着合同权利义务履行的结束，中标人仍需按合同要求做好后续服务工作，如中标人违反合同相关规定，需按采购人要求缴纳违约金（违约金金额累计上限为合同总价的10%）。2）付款方：采购人；收款方：中标人。3）开具发票：中标人收款时必须持有效发票。收款方、出具发票方、合同乙方均必须与中标人名称一致。4）因采购人使用的是财政资金，参与投标人即视为充分理解政府部门预算管理的相关程序及要求，若相关预算进行调整，采购人可按照相关预算的情况与中标人对合同内容进行变更，采购人不承担因延期拨付或合同内容变更给中标人造成的各类损失，如利息、连带责任等。5）付款期间如因特殊情况需调整，由双方协商处理。6）★如遇上级有关消费帮扶工作要求，则相应从900万元的预算中扣减。如上级有新的要求，需按新要求执行。（投标时提供承诺函，格式自定）。7）★投标人须出具针对本项目的《食品质量安全承诺书》（投标时提供《食品质量安全承诺书》作为证明材料，格式详见公告附件）。</w:t>
            </w: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1.本项目采用折扣率报价，均适用《菜篮子项目》清单和《常用食材及副食品项目》清单，投标折扣率的有效范围为0%＜投标折扣率≤100%，投标折扣率精确到小数点后两位。 2．投标人所填报的投标折扣率超出上述规定有效范围的，其投标作无效处理。 3．实际结算价格必须包含食材的购置、配送、粗加工、分拣、包装、仓储、运输、保险、装卸、堆放、保险、损耗、退换、售后服务、检验检疫费、质量检测费、雇员费用、管理费和全额税费等，以及合同实施过程中的应预见和不可预见的一切费用。</w:t>
            </w:r>
          </w:p>
        </w:tc>
      </w:tr>
      <w:tr>
        <w:tc>
          <w:tcPr>
            <w:tcW w:type="dxa" w:w="2076"/>
          </w:tcPr>
          <w:p>
            <w:pPr>
              <w:jc w:val="center"/>
            </w:pPr>
            <w:r>
              <w:rPr/>
              <w:t>★</w:t>
            </w:r>
          </w:p>
        </w:tc>
        <w:tc>
          <w:tcPr>
            <w:tcW w:type="dxa" w:w="2076"/>
          </w:tcPr>
          <w:p>
            <w:pPr>
              <w:jc w:val="center"/>
            </w:pPr>
            <w:r>
              <w:rPr/>
              <w:t>2</w:t>
            </w:r>
          </w:p>
        </w:tc>
        <w:tc>
          <w:tcPr>
            <w:tcW w:type="dxa" w:w="2076"/>
          </w:tcPr>
          <w:p>
            <w:pPr>
              <w:jc w:val="left"/>
            </w:pPr>
            <w:r>
              <w:rPr/>
              <w:t>结算要求</w:t>
            </w:r>
          </w:p>
        </w:tc>
        <w:tc>
          <w:tcPr>
            <w:tcW w:type="dxa" w:w="2076"/>
          </w:tcPr>
          <w:p>
            <w:pPr>
              <w:jc w:val="left"/>
            </w:pPr>
            <w:r>
              <w:rPr/>
              <w:t>1.采购人与中标人来往款项支付均以人民币转账方式； 2.中标人完成当月供货订单后，于次月10日前凭国家正式发票向采购人申请付款，采购人收到申请后在10个工作天内结清当月所有货款。 3.《菜篮子项目》清单以佛山市发展和改革局官网上公布的佛山市五区农副产品市场零售价格表，取三水区上个月5号、15号、25号的价格形成价格均值表(如报价出现小数点，四舍五入保留小数点后两位），如以上日期无公布价格则顺延至有价格的第一天，以均值表中的单价作为基准价，实际结算价格=基准价×中标折扣率×食材数量。 4.《菜篮子项目》清单未公布或无价格的食材，则以《常用食材及副食品项目》清单中的最高限价为基准价，实际结算价格=基准价×中标折扣率×食材数量。若《常用食材及副食品项目》清单没有但需进行采购的食材，则进行市场调查以三家供应商以上（含三家）的平均价或最低价确定基准价，实际结算价格=基准价×中标折扣率×食材数量。</w:t>
            </w:r>
          </w:p>
        </w:tc>
      </w:tr>
      <w:tr>
        <w:tc>
          <w:tcPr>
            <w:tcW w:type="dxa" w:w="2076"/>
          </w:tcPr>
          <w:p>
            <w:pPr>
              <w:jc w:val="center"/>
            </w:pPr>
          </w:p>
        </w:tc>
        <w:tc>
          <w:tcPr>
            <w:tcW w:type="dxa" w:w="2076"/>
          </w:tcPr>
          <w:p>
            <w:pPr>
              <w:jc w:val="center"/>
            </w:pPr>
            <w:r>
              <w:rPr/>
              <w:t>3</w:t>
            </w:r>
          </w:p>
        </w:tc>
        <w:tc>
          <w:tcPr>
            <w:tcW w:type="dxa" w:w="2076"/>
          </w:tcPr>
          <w:p>
            <w:pPr>
              <w:jc w:val="left"/>
            </w:pPr>
            <w:r>
              <w:rPr/>
              <w:t>食材配送内容</w:t>
            </w:r>
          </w:p>
        </w:tc>
        <w:tc>
          <w:tcPr>
            <w:tcW w:type="dxa" w:w="2076"/>
          </w:tcPr>
          <w:p>
            <w:pPr>
              <w:jc w:val="left"/>
            </w:pPr>
            <w:r>
              <w:rPr/>
              <w:t>1.《菜篮子项目》清单：《菜篮子项目》清单中的品种的最高单价限价为佛山市发展和改革局官网上公布的佛山市五区农副产品市场零售价格表，取三水区上个月5号、15号、25号的价格形成价格均值表的单价作为基准价。 2.《常用食材及副食品项目》清单：以清单内食材的最高限价作为基准价。（详见招标公告附件）</w:t>
            </w:r>
          </w:p>
        </w:tc>
      </w:tr>
      <w:tr>
        <w:tc>
          <w:tcPr>
            <w:tcW w:type="dxa" w:w="2076"/>
          </w:tcPr>
          <w:p>
            <w:pPr>
              <w:jc w:val="center"/>
            </w:pPr>
          </w:p>
        </w:tc>
        <w:tc>
          <w:tcPr>
            <w:tcW w:type="dxa" w:w="2076"/>
          </w:tcPr>
          <w:p>
            <w:pPr>
              <w:jc w:val="center"/>
            </w:pPr>
            <w:r>
              <w:rPr/>
              <w:t>4</w:t>
            </w:r>
          </w:p>
        </w:tc>
        <w:tc>
          <w:tcPr>
            <w:tcW w:type="dxa" w:w="2076"/>
          </w:tcPr>
          <w:p>
            <w:pPr>
              <w:jc w:val="left"/>
            </w:pPr>
            <w:r>
              <w:rPr/>
              <w:t>价格调整</w:t>
            </w:r>
          </w:p>
        </w:tc>
        <w:tc>
          <w:tcPr>
            <w:tcW w:type="dxa" w:w="2076"/>
          </w:tcPr>
          <w:p>
            <w:pPr>
              <w:jc w:val="left"/>
            </w:pPr>
            <w:r>
              <w:rPr/>
              <w:t>本项目中的《菜篮子项目》清单价格不作调整。 《常用食材及副食品项目》清单中的食材价格在合同履行前6个月以及合同履行结束前6个月，价格不作调整。从第7个月起至第18个月期间，根据市场价格的变化，如市场食材价格与食材最高限价对比上下浮动超过15%（含），双方可就结算价格提出变动意见，经双方友好协商同意后由采购人进行市场调查以三家供应商以上（含三家）的平均价或最低价确定基准价，实际结算价格=基准价×中标折扣率×食材数量。（从第7个月起可调整价格，每次调整价格间隔不少于六个月）</w:t>
            </w:r>
          </w:p>
        </w:tc>
      </w:tr>
      <w:tr>
        <w:tc>
          <w:tcPr>
            <w:tcW w:type="dxa" w:w="2076"/>
          </w:tcPr>
          <w:p>
            <w:pPr>
              <w:jc w:val="center"/>
            </w:pPr>
          </w:p>
        </w:tc>
        <w:tc>
          <w:tcPr>
            <w:tcW w:type="dxa" w:w="2076"/>
          </w:tcPr>
          <w:p>
            <w:pPr>
              <w:jc w:val="center"/>
            </w:pPr>
            <w:r>
              <w:rPr/>
              <w:t>5</w:t>
            </w:r>
          </w:p>
        </w:tc>
        <w:tc>
          <w:tcPr>
            <w:tcW w:type="dxa" w:w="2076"/>
          </w:tcPr>
          <w:p>
            <w:pPr>
              <w:jc w:val="left"/>
            </w:pPr>
            <w:r>
              <w:rPr/>
              <w:t>违约责任及赔偿损失</w:t>
            </w:r>
          </w:p>
        </w:tc>
        <w:tc>
          <w:tcPr>
            <w:tcW w:type="dxa" w:w="2076"/>
          </w:tcPr>
          <w:p>
            <w:pPr>
              <w:jc w:val="left"/>
            </w:pPr>
            <w:r>
              <w:rPr/>
              <w:t>1.发生以下情形，经调查属实的，扣除100元货款： 1.1未按要求随货提供相关票证； 1.2货物质量验收不合格； 1.3未按采购人采购计划的时间供货（提前一天与采购人协商除外）； 1.4供货数量仅为采购人采购计划数量的80%-90%（不含本数）； 1.5未按采购人指定秩序卸货； 1.6食材出现质量问题，中标人不积极配合查找原因，不及时反馈处理结果； 1.7工作人员不遵守采购人各项管理规定； 2.发生以下情形，经调查属实的，扣除500元货款： 2.1供应食材品种、品牌、规格或质量等级与合同不符； 2.2提供虚假检验报告等相关票证； 2.3供货数量低于采购人采购计划数量的80%（含本数）； 2.4同一品种货物连续两次验收发现质量不合格产品并退货； 2.5把采购人验收不合格退货的食材重新配送给采购人； 2.6在包装、运输、装卸等环节不符合食品安全要求； 2.7组织机构发生调整，或经营场所、联系人、联系方式变更，未及时通知采购人业务部门，造成无法及时联系； 2.8食品溯源管理制度不落实，进货查验记录不全； 发生上述1、2扣除货款情形的，在未因所供食材发生食品安全事故的前提下，在合同期第一、二个星期内可予以豁免扣除货款，第三个星期起严格执行。 3.发生以下情形，经调查属实的，扣除1000元货款： 3.1中标人的工作人员不遵守采购人各项管理规定，或泄露采购人内部情况，造成社会不良影响； 3.2中标人提供假冒伪劣、过期产品的，一经发现，除按采购人要求无条件退货或换货外，还将被处以10倍的罚款，罚款由供货结算款内扣除。 若同时出现上述货款扣除情形，则仅按扣除数额最大的情形执行，不对同时出现的情形累计扣除货款 4.如中标人在合同执行过程需终止执行合同的，需提前一个月以书面形式告知采购人，否则按单方终止执行合同处理。 5.若中标人提供的配送服务不符合本项目要求的，中标人应在收到采购人整改通知之日起在一星期内予以整改完毕。若中标人逾期整改或整改后仍未能按合同约定提供配送服务的，从逾期之日起每日按合同总价3‰的数额向采购人支付违约金；逾期10天以上（含10天）的，采购人除有权终止合同，还有权要求中标人按合同总价1%支付违约金，并且给采购人造成的经济损失由中标人承担赔偿责任。 6.合同任意一方违约，守约方为维护自身合法权益所支出的一切费用，包括但不限于律师费、诉讼费等费用，由违约方承担。 7.其它违约责任按《中华人民共和国民法典》处理。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2024年-2026年民警餐厅食材配送项目</w:t>
            </w:r>
          </w:p>
        </w:tc>
        <w:tc>
          <w:tcPr>
            <w:tcW w:type="dxa" w:w="831"/>
          </w:tcPr>
          <w:p>
            <w:pPr>
              <w:jc w:val="left"/>
            </w:pPr>
            <w:r>
              <w:rPr/>
              <w:t>项</w:t>
            </w:r>
          </w:p>
        </w:tc>
        <w:tc>
          <w:tcPr>
            <w:tcW w:type="dxa" w:w="831"/>
          </w:tcPr>
          <w:p>
            <w:pPr>
              <w:jc w:val="right"/>
            </w:pPr>
            <w:r>
              <w:rPr/>
              <w:t>1.00</w:t>
            </w:r>
          </w:p>
        </w:tc>
        <w:tc>
          <w:tcPr>
            <w:tcW w:type="dxa" w:w="831"/>
          </w:tcPr>
          <w:p>
            <w:pPr>
              <w:jc w:val="right"/>
            </w:pPr>
            <w:r>
              <w:rPr/>
              <w:t>9,000,000.00</w:t>
            </w:r>
          </w:p>
        </w:tc>
        <w:tc>
          <w:tcPr>
            <w:tcW w:type="dxa" w:w="831"/>
          </w:tcPr>
          <w:p>
            <w:pPr>
              <w:jc w:val="right"/>
            </w:pPr>
            <w:r>
              <w:rPr/>
              <w:t>9,000,000.00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2024年-2026年民警餐厅食材配送项目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总体要求：</w:t>
            </w:r>
          </w:p>
          <w:p>
            <w:pPr>
              <w:jc w:val="both"/>
            </w:pPr>
            <w:r>
              <w:rPr>
                <w:sz w:val="21"/>
              </w:rPr>
              <w:t>1．</w:t>
            </w:r>
            <w:r>
              <w:rPr>
                <w:sz w:val="21"/>
              </w:rPr>
              <w:t>★</w:t>
            </w:r>
            <w:r>
              <w:rPr>
                <w:sz w:val="21"/>
              </w:rPr>
              <w:t>中标人配送的食材必须符合《中华人民共和国食品卫生法》要求；必须符合国家有关行业标准；必须货真价实、均能提供相应批次的合格检验证明；必须各项技术指标完全符合国家有关质量检测、环保标准及产品出厂标准。食材保证无异味、无霉烂变质，如不符合招标文件所描述的质量标准，必须退货并承担违约责任。</w:t>
            </w:r>
          </w:p>
          <w:p>
            <w:pPr>
              <w:jc w:val="both"/>
            </w:pPr>
            <w:r>
              <w:rPr>
                <w:sz w:val="21"/>
              </w:rPr>
              <w:t>2．</w:t>
            </w:r>
            <w:r>
              <w:rPr>
                <w:sz w:val="21"/>
              </w:rPr>
              <w:t>中标人必须负责食材的运输、质量检测等工作，所产生的费用由中标人负责。</w:t>
            </w:r>
          </w:p>
          <w:p>
            <w:pPr>
              <w:jc w:val="both"/>
            </w:pPr>
            <w:r>
              <w:rPr>
                <w:sz w:val="21"/>
              </w:rPr>
              <w:t>3．</w:t>
            </w:r>
            <w:r>
              <w:rPr>
                <w:sz w:val="21"/>
              </w:rPr>
              <w:t>食材具体需求量以实际供应前一天采购人通知的为准。</w:t>
            </w:r>
          </w:p>
          <w:p>
            <w:pPr>
              <w:jc w:val="both"/>
            </w:pPr>
            <w:r>
              <w:rPr>
                <w:sz w:val="21"/>
              </w:rPr>
              <w:t>4．</w:t>
            </w:r>
            <w:r>
              <w:rPr>
                <w:sz w:val="21"/>
              </w:rPr>
              <w:t>中标人不得将中标项目转包、分包，否则采购人有权单方终止合同</w:t>
            </w:r>
            <w:r>
              <w:rPr>
                <w:sz w:val="21"/>
              </w:rPr>
              <w:t>,由此产生的一切经济损失由中标人自行承担。</w:t>
            </w:r>
          </w:p>
          <w:p>
            <w:pPr>
              <w:jc w:val="both"/>
            </w:pPr>
            <w:r>
              <w:rPr>
                <w:sz w:val="21"/>
              </w:rPr>
              <w:t>5．</w:t>
            </w:r>
            <w:r>
              <w:rPr>
                <w:sz w:val="21"/>
              </w:rPr>
              <w:t>采购人每年可不定期不少于五次，要求中标人提供采购人所指定食材的质量或安全检验报告。食材质量检验的费用由中标人承担。检验在中标人交货的最终目的地进行。</w:t>
            </w:r>
          </w:p>
          <w:p>
            <w:pPr>
              <w:jc w:val="both"/>
            </w:pPr>
            <w:r>
              <w:rPr>
                <w:sz w:val="21"/>
              </w:rPr>
              <w:t>6．</w:t>
            </w:r>
            <w:r>
              <w:rPr>
                <w:sz w:val="21"/>
              </w:rPr>
              <w:t>中标人应积极配合采购人解决特殊情况下所需要的接待用餐，如果不能全部提供需要的计划材料清单上的食材，由采购人代买的，中标人需要实报实销发生的相关费用。</w:t>
            </w:r>
          </w:p>
          <w:p>
            <w:pPr>
              <w:jc w:val="both"/>
            </w:pPr>
            <w:r>
              <w:rPr>
                <w:sz w:val="21"/>
              </w:rPr>
              <w:t>7．</w:t>
            </w:r>
            <w:r>
              <w:rPr>
                <w:sz w:val="21"/>
              </w:rPr>
              <w:t>由于采购人工作的特殊性，中标人应做好本单位工作人员的教育工作，</w:t>
            </w:r>
            <w:r>
              <w:rPr>
                <w:sz w:val="21"/>
              </w:rPr>
              <w:t>投标</w:t>
            </w:r>
            <w:r>
              <w:rPr>
                <w:sz w:val="21"/>
              </w:rPr>
              <w:t>人</w:t>
            </w:r>
            <w:r>
              <w:rPr>
                <w:sz w:val="21"/>
              </w:rPr>
              <w:t>应在</w:t>
            </w:r>
            <w:r>
              <w:rPr>
                <w:sz w:val="21"/>
              </w:rPr>
              <w:t>整体实施方案</w:t>
            </w:r>
            <w:r>
              <w:rPr>
                <w:sz w:val="21"/>
              </w:rPr>
              <w:t>中提供完善、合理的培训教育方案，并提供书面保证在服务期间</w:t>
            </w:r>
            <w:r>
              <w:rPr>
                <w:sz w:val="21"/>
              </w:rPr>
              <w:t>遵守采购人各项规定。</w:t>
            </w:r>
          </w:p>
          <w:p>
            <w:pPr>
              <w:jc w:val="both"/>
            </w:pPr>
            <w:r>
              <w:rPr>
                <w:sz w:val="21"/>
              </w:rPr>
              <w:t>8．</w:t>
            </w:r>
            <w:r>
              <w:rPr>
                <w:sz w:val="21"/>
              </w:rPr>
              <w:t>中标人除不可抗力，不得因其他任何理由延迟送货。采购人如遇特殊情况需推迟送货，应提前通知中标人。因中标人原因延误交货日期的（采购人要求推迟的除外），采购人有权自行采购，并由中标人承担由此产生的一切损失和费用。</w:t>
            </w:r>
          </w:p>
          <w:p>
            <w:pPr>
              <w:jc w:val="both"/>
            </w:pPr>
            <w:r>
              <w:rPr>
                <w:sz w:val="21"/>
              </w:rPr>
              <w:t>9．</w:t>
            </w:r>
            <w:r>
              <w:rPr>
                <w:sz w:val="21"/>
              </w:rPr>
              <w:t>中标人不得变更供应食材，应严格按投标要求（含商标、名称、产地、规格和重量等）供应，否则，采购人有权拒收。如因市场流通问题确实需要变更的，应书面向采购人申请。</w:t>
            </w:r>
          </w:p>
          <w:p>
            <w:pPr>
              <w:jc w:val="both"/>
            </w:pPr>
            <w:r>
              <w:rPr>
                <w:sz w:val="21"/>
              </w:rPr>
              <w:t>10．</w:t>
            </w:r>
            <w:r>
              <w:rPr>
                <w:sz w:val="21"/>
              </w:rPr>
              <w:t>采购人按合同对食材进行验收，对不符合规格要求的食材，中标人必须无条件退货；中标人未能履行招标文件和合同所定事项</w:t>
            </w:r>
            <w:r>
              <w:rPr>
                <w:sz w:val="21"/>
              </w:rPr>
              <w:t>, 或供应不合格的、假冒伪劣、以次充好的商品，采购人退货后将记录在案，并对中标人予以处罚，除要承担因此产生的一切损失和费用外，情节严重的可取消其供应资格。</w:t>
            </w:r>
          </w:p>
          <w:p>
            <w:pPr>
              <w:jc w:val="both"/>
            </w:pPr>
            <w:r>
              <w:rPr>
                <w:color w:val="000000"/>
                <w:sz w:val="21"/>
              </w:rPr>
              <w:t>11.</w:t>
            </w:r>
            <w:r>
              <w:rPr>
                <w:color w:val="000000"/>
                <w:sz w:val="21"/>
              </w:rPr>
              <w:t>中标人需</w:t>
            </w:r>
            <w:r>
              <w:rPr>
                <w:color w:val="000000"/>
                <w:sz w:val="21"/>
              </w:rPr>
              <w:t>为本项目每年投保食品安全责任险，其提供的食材及配送服务须服从采购人的监督、管理。</w:t>
            </w:r>
          </w:p>
        </w:tc>
      </w:tr>
      <w:tr>
        <w:tc>
          <w:tcPr>
            <w:tcW w:type="dxa" w:w="2076"/>
          </w:tcPr>
          <w:p/>
        </w:tc>
        <w:tc>
          <w:tcPr>
            <w:tcW w:type="dxa" w:w="415"/>
          </w:tcPr>
          <w:p>
            <w:r>
              <w:rPr/>
              <w:t>2</w:t>
            </w:r>
          </w:p>
        </w:tc>
        <w:tc>
          <w:tcPr>
            <w:tcW w:type="dxa" w:w="5814"/>
          </w:tcPr>
          <w:p>
            <w:pPr>
              <w:jc w:val="both"/>
            </w:pPr>
            <w:r>
              <w:rPr>
                <w:sz w:val="21"/>
              </w:rPr>
              <w:t>食材质量管理要求</w:t>
            </w:r>
          </w:p>
          <w:p>
            <w:pPr>
              <w:jc w:val="both"/>
            </w:pPr>
            <w:r>
              <w:rPr>
                <w:b/>
                <w:sz w:val="21"/>
              </w:rPr>
              <w:t>（一）肉类（含生鲜、冻品、鱼类、熟食等）</w:t>
            </w:r>
          </w:p>
          <w:p>
            <w:pPr>
              <w:jc w:val="both"/>
            </w:pPr>
            <w:r>
              <w:rPr>
                <w:sz w:val="21"/>
              </w:rPr>
              <w:t>1</w:t>
            </w:r>
            <w:r>
              <w:rPr>
                <w:sz w:val="21"/>
              </w:rPr>
              <w:t>.</w:t>
            </w:r>
            <w:r>
              <w:rPr>
                <w:sz w:val="21"/>
              </w:rPr>
              <w:t>质量要求</w:t>
            </w:r>
            <w:r>
              <w:rPr>
                <w:sz w:val="21"/>
              </w:rPr>
              <w:t>:</w:t>
            </w:r>
          </w:p>
          <w:p>
            <w:pPr>
              <w:jc w:val="both"/>
            </w:pPr>
            <w:r>
              <w:rPr>
                <w:sz w:val="21"/>
              </w:rPr>
              <w:t>1.1保持较好的外观和质量等级，符合国家食品部门的有关标准，保证无异味、无霉烂变质，肉类保证来源于正规肉屠宰场，供货时须提交屠宰场的验收单及当批次有效的动物检疫合格证复印件（原件备查），新鲜肉确保每日新鲜，为当天正规屠宰场宰杀的新鲜肉；冷冻肉要求肉体冻实而坚硬，无化冻现象，肉质紧密而有弹性，色泽均匀，不粘手，交货时干净、新鲜、无异味；冷冻鱼类要求鱼眼睛清亮，角膜透明，鳞片上覆有冻结的透明黏液层，皮肤天然色泽明显。</w:t>
            </w:r>
          </w:p>
          <w:p>
            <w:pPr>
              <w:jc w:val="both"/>
            </w:pPr>
            <w:r>
              <w:rPr>
                <w:sz w:val="21"/>
              </w:rPr>
              <w:t>1.2所有食材规格符合采购人提交的日采购计划中明确的具体需求。</w:t>
            </w:r>
          </w:p>
          <w:p>
            <w:pPr>
              <w:jc w:val="both"/>
            </w:pPr>
            <w:r>
              <w:rPr>
                <w:sz w:val="21"/>
              </w:rPr>
              <w:t>1.3冷冻禽类食品解冻后净重量不少于90%，冷冻肉类食品解冻后净重量不少于92%，冷冻水产类食品解冻后净重量不少于82%，解冻时间为4小时以内（室温 20℃）。</w:t>
            </w:r>
            <w:r>
              <w:rPr>
                <w:sz w:val="21"/>
              </w:rPr>
              <w:t>投标人需在</w:t>
            </w:r>
            <w:r>
              <w:rPr>
                <w:sz w:val="21"/>
              </w:rPr>
              <w:t>质量保障措施及安全控制方案</w:t>
            </w:r>
            <w:r>
              <w:rPr>
                <w:sz w:val="21"/>
              </w:rPr>
              <w:t>清晰列出所有冷冻食品品牌、规格、类型、包装方式、包装净重、含冰量等相关参数。</w:t>
            </w:r>
          </w:p>
          <w:p>
            <w:pPr>
              <w:jc w:val="both"/>
            </w:pPr>
            <w:r>
              <w:rPr>
                <w:sz w:val="21"/>
              </w:rPr>
              <w:t>1.4熟食包括烧鸡、烧鸭、烧鹅等。熟食（特别是鲜制熟食）它的保质期较短，保鲜要求高，配送的熟食需保证产品的品质。</w:t>
            </w:r>
          </w:p>
          <w:p>
            <w:pPr>
              <w:jc w:val="both"/>
            </w:pPr>
            <w:r>
              <w:rPr>
                <w:sz w:val="21"/>
              </w:rPr>
              <w:t>1.5如中标人不能按时、保质、保量供货，由采购人自行采购，并承担采购人由此造成的经济损失和接受违约处罚。</w:t>
            </w:r>
          </w:p>
          <w:p>
            <w:pPr>
              <w:jc w:val="both"/>
            </w:pPr>
            <w:r>
              <w:rPr>
                <w:sz w:val="21"/>
              </w:rPr>
              <w:t>2、冻肉质量的基本检查：在本环节中应保证冷藏食品脱离冷链时间不得超过20分钟，冷冻食品脱离冷链时间不得超过30分钟。对冻肉类检查如下：</w:t>
            </w:r>
          </w:p>
          <w:p>
            <w:pPr>
              <w:jc w:val="both"/>
            </w:pPr>
            <w:r>
              <w:rPr>
                <w:sz w:val="21"/>
              </w:rPr>
              <w:t>2.1冻肉必须符合食品卫生要求及国家有关标准和行业规范。采购生产、经营证明文件齐备，明确来源，并具有检验合格证明。严禁含有毒有害物质、虫及混有异物，严禁有腐烂变质、酸败、霉变情况，禁止采购超过保质期限的冻肉类食品。每次供货时需提供相关合格证明材料。</w:t>
            </w:r>
          </w:p>
          <w:p>
            <w:pPr>
              <w:jc w:val="both"/>
            </w:pPr>
            <w:r>
              <w:rPr>
                <w:sz w:val="21"/>
              </w:rPr>
              <w:t>2.2冻肉类食材包装必须符合国家规范，不得存放在有毒、有害的容器和承载物内。食品包装上必须使用原产地标识，应注明：制造商名称和厂址、食品名称和重（容）量、生产日期和保质期限以及规格和</w:t>
            </w:r>
            <w:r>
              <w:rPr>
                <w:sz w:val="21"/>
              </w:rPr>
              <w:t>SC开头的生产许可证编号</w:t>
            </w:r>
            <w:r>
              <w:rPr>
                <w:sz w:val="21"/>
              </w:rPr>
              <w:t>等。</w:t>
            </w:r>
          </w:p>
          <w:p>
            <w:pPr>
              <w:jc w:val="both"/>
            </w:pPr>
            <w:r>
              <w:rPr>
                <w:sz w:val="21"/>
              </w:rPr>
              <w:t>2.3对不符合采购要求的冻肉类食材由验收人员提出清退，如双方对质量争议的退货前应实行留板备案，可送广州市或采购人所在地地级市以上质监部门检测，对缺斤短两（或含冰量超标）的应按实际重量扣减。</w:t>
            </w:r>
          </w:p>
          <w:p>
            <w:pPr>
              <w:jc w:val="both"/>
            </w:pPr>
            <w:r>
              <w:rPr>
                <w:sz w:val="21"/>
              </w:rPr>
              <w:t>3</w:t>
            </w:r>
            <w:r>
              <w:rPr>
                <w:sz w:val="21"/>
              </w:rPr>
              <w:t>.</w:t>
            </w:r>
            <w:r>
              <w:rPr>
                <w:sz w:val="21"/>
              </w:rPr>
              <w:t>运输要求：</w:t>
            </w:r>
          </w:p>
          <w:p>
            <w:pPr>
              <w:jc w:val="both"/>
            </w:pPr>
            <w:r>
              <w:rPr>
                <w:sz w:val="21"/>
              </w:rPr>
              <w:t>3.1运输必须采用符合卫生要求的外包装和运载工具，并且要保持清洁和定期消毒。运输车厢的内仓，包括地面、墙面和顶，应为抗腐蚀、防潮，防虫、防鼠的设计，车厢内无不良气味、异味。</w:t>
            </w:r>
          </w:p>
          <w:p>
            <w:pPr>
              <w:jc w:val="both"/>
            </w:pPr>
            <w:r>
              <w:rPr>
                <w:sz w:val="21"/>
              </w:rPr>
              <w:t>3.2冷藏、冷冻食品必须用专用冷藏、冷冻载具运输，应当有必要的保温设备并在整个运输过程中保持安全的冷藏、冷冻温度。特别是对于长途运输的食品，保证食品在运输全过程处于合适的温度范围。</w:t>
            </w:r>
            <w:r>
              <w:rPr>
                <w:sz w:val="21"/>
              </w:rPr>
              <w:t>投标人</w:t>
            </w:r>
            <w:r>
              <w:rPr>
                <w:sz w:val="21"/>
              </w:rPr>
              <w:t>提供清晰显示车牌的正面、后面的车辆照片</w:t>
            </w:r>
            <w:r>
              <w:rPr>
                <w:sz w:val="21"/>
              </w:rPr>
              <w:t>，</w:t>
            </w:r>
            <w:r>
              <w:rPr>
                <w:sz w:val="21"/>
              </w:rPr>
              <w:t>显示内部和外部制冷装置、</w:t>
            </w:r>
            <w:r>
              <w:rPr>
                <w:sz w:val="21"/>
              </w:rPr>
              <w:t>并</w:t>
            </w:r>
            <w:r>
              <w:rPr>
                <w:sz w:val="21"/>
              </w:rPr>
              <w:t>同时清晰显示车厢外部明显的</w:t>
            </w:r>
            <w:r>
              <w:rPr>
                <w:sz w:val="21"/>
              </w:rPr>
              <w:t>“</w:t>
            </w:r>
            <w:r>
              <w:rPr>
                <w:sz w:val="21"/>
              </w:rPr>
              <w:t>冷藏车</w:t>
            </w:r>
            <w:r>
              <w:rPr>
                <w:sz w:val="21"/>
              </w:rPr>
              <w:t>”</w:t>
            </w:r>
            <w:r>
              <w:rPr>
                <w:sz w:val="21"/>
              </w:rPr>
              <w:t>字样及冷藏车识别标志的英文字母</w:t>
            </w:r>
            <w:r>
              <w:rPr>
                <w:sz w:val="21"/>
              </w:rPr>
              <w:t>的</w:t>
            </w:r>
            <w:r>
              <w:rPr>
                <w:sz w:val="21"/>
              </w:rPr>
              <w:t>图片作为对</w:t>
            </w:r>
            <w:r>
              <w:rPr>
                <w:sz w:val="21"/>
              </w:rPr>
              <w:t>整体实施方案</w:t>
            </w:r>
            <w:r>
              <w:rPr>
                <w:sz w:val="21"/>
              </w:rPr>
              <w:t>的响应。</w:t>
            </w:r>
          </w:p>
          <w:p>
            <w:pPr>
              <w:jc w:val="both"/>
            </w:pPr>
            <w:r>
              <w:rPr>
                <w:sz w:val="21"/>
              </w:rPr>
              <w:t>3.3整个运输过程应科学合理，运输车辆应定期清洁，保持性能稳定，符合规定的温度要求，使运输食品处于恒定的环境中。</w:t>
            </w:r>
          </w:p>
          <w:p>
            <w:pPr>
              <w:jc w:val="both"/>
            </w:pPr>
            <w:r>
              <w:rPr>
                <w:sz w:val="21"/>
              </w:rPr>
              <w:t>3.4</w:t>
            </w:r>
            <w:r>
              <w:rPr>
                <w:sz w:val="21"/>
              </w:rPr>
              <w:t>运输路程在</w:t>
            </w:r>
            <w:r>
              <w:rPr>
                <w:sz w:val="21"/>
              </w:rPr>
              <w:t>1小时内的用保温箱</w:t>
            </w:r>
            <w:r>
              <w:rPr>
                <w:sz w:val="21"/>
              </w:rPr>
              <w:t>或专用保温车配送，</w:t>
            </w:r>
            <w:r>
              <w:rPr>
                <w:sz w:val="21"/>
              </w:rPr>
              <w:t>1小时以外的用制冷车配送，保证肉类中心温度控制在-2-7℃的范围之内，保证运输过程冷链不中断。食材到达目的地时外包装箱干爽,无软化现象。</w:t>
            </w:r>
          </w:p>
          <w:p>
            <w:pPr>
              <w:jc w:val="both"/>
            </w:pPr>
            <w:r>
              <w:rPr>
                <w:sz w:val="21"/>
              </w:rPr>
              <w:t>3.5运输车辆应保持清洁；食品堆放科学合理，避免造成食品的交叉污染；如对温度有要求的食品应确定食品的温度，记录送货车辆温度，并记录存档。</w:t>
            </w:r>
          </w:p>
          <w:p>
            <w:pPr>
              <w:jc w:val="both"/>
            </w:pPr>
            <w:r>
              <w:rPr>
                <w:b/>
                <w:sz w:val="21"/>
              </w:rPr>
              <w:t>（二）蔬菜类：（净菜率不得低于</w:t>
            </w:r>
            <w:r>
              <w:rPr>
                <w:b/>
                <w:sz w:val="21"/>
              </w:rPr>
              <w:t>95%）</w:t>
            </w:r>
          </w:p>
          <w:p>
            <w:pPr>
              <w:jc w:val="both"/>
            </w:pPr>
            <w:r>
              <w:rPr>
                <w:sz w:val="21"/>
              </w:rPr>
              <w:t>中标人每天按采购人提出的品种要求和计划数量进行供应。属季节问题，若出现品种不能满足采购人需求的情况，可与采购人协商调换相应类别的品种（按叶菜、瓜菜等进行分类）。</w:t>
            </w:r>
          </w:p>
          <w:p>
            <w:pPr>
              <w:jc w:val="both"/>
            </w:pPr>
            <w:r>
              <w:rPr>
                <w:sz w:val="21"/>
              </w:rPr>
              <w:t>1</w:t>
            </w:r>
            <w:r>
              <w:rPr>
                <w:sz w:val="21"/>
              </w:rPr>
              <w:t>.</w:t>
            </w:r>
            <w:r>
              <w:rPr>
                <w:sz w:val="21"/>
              </w:rPr>
              <w:t>质量要求：</w:t>
            </w:r>
          </w:p>
          <w:p>
            <w:pPr>
              <w:jc w:val="both"/>
            </w:pPr>
            <w:r>
              <w:rPr>
                <w:sz w:val="21"/>
              </w:rPr>
              <w:t>1.1从蔬菜色泽看，各种蔬菜都应具有本品种固有的颜色，大多数有发亮的光泽，以此显示蔬菜的成熟度及鲜嫩程度；</w:t>
            </w:r>
          </w:p>
          <w:p>
            <w:pPr>
              <w:jc w:val="both"/>
            </w:pPr>
            <w:r>
              <w:rPr>
                <w:sz w:val="21"/>
              </w:rPr>
              <w:t>1.2从蔬菜气味看，多数蔬菜具有清馨、甘辛香、甜酸香等气味，可凭嗅觉识别不同品种的质量，不允许有腐烂变质的亚硝酸盐味和其他异常气味；</w:t>
            </w:r>
          </w:p>
          <w:p>
            <w:pPr>
              <w:jc w:val="both"/>
            </w:pPr>
            <w:r>
              <w:rPr>
                <w:sz w:val="21"/>
              </w:rPr>
              <w:t>1.3从蔬菜滋味看，因品种不同而各异，多数蔬菜滋味甘淡、甜酸、清爽鲜美，少数具有辛酸、苦涩等特殊风味以刺激食欲，如失去本品种原有的滋</w:t>
            </w:r>
            <w:r>
              <w:rPr>
                <w:sz w:val="21"/>
              </w:rPr>
              <w:t>味</w:t>
            </w:r>
            <w:r>
              <w:rPr>
                <w:sz w:val="21"/>
              </w:rPr>
              <w:t>即为异常；</w:t>
            </w:r>
          </w:p>
          <w:p>
            <w:pPr>
              <w:jc w:val="both"/>
            </w:pPr>
            <w:r>
              <w:rPr>
                <w:sz w:val="21"/>
              </w:rPr>
              <w:t>1.4从蔬菜形态看，应尽量避免由于客观因素而造成的各种非正常、不新鲜的蔬菜，例如萎蔫、枯塌、损伤、病变、虫害侵蚀等引起的形态异常等。</w:t>
            </w:r>
          </w:p>
          <w:p>
            <w:pPr>
              <w:jc w:val="both"/>
            </w:pPr>
            <w:r>
              <w:rPr>
                <w:sz w:val="21"/>
              </w:rPr>
              <w:t>1.5叶菜类：大白菜、小白菜、菠菜、甘蓝、荠菜、空心菜、茼蒿、苋菜、芹菜等绿叶菜类。</w:t>
            </w:r>
          </w:p>
          <w:p>
            <w:pPr>
              <w:jc w:val="both"/>
            </w:pPr>
            <w:r>
              <w:rPr>
                <w:sz w:val="21"/>
              </w:rPr>
              <w:t>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jc w:val="both"/>
            </w:pPr>
            <w:r>
              <w:rPr>
                <w:sz w:val="21"/>
              </w:rPr>
              <w:t>1.6茄果类：番茄、茄子、甜椒、辣椒等。</w:t>
            </w:r>
          </w:p>
          <w:p>
            <w:pPr>
              <w:jc w:val="both"/>
            </w:pPr>
            <w:r>
              <w:rPr>
                <w:sz w:val="21"/>
              </w:rPr>
              <w:t>属同一品种规格，果实整洁，成熟度适中，番茄花蒂不明显，无裂果及空洞现象，茄果不能有裂蒂及果皮变硬现象，无腐烂、畸形、异味，无明显机械伤。</w:t>
            </w:r>
          </w:p>
          <w:p>
            <w:pPr>
              <w:jc w:val="both"/>
            </w:pPr>
            <w:r>
              <w:rPr>
                <w:sz w:val="21"/>
              </w:rPr>
              <w:t>1.7瓜果类：黄瓜、冬瓜、丝瓜、苦瓜、南瓜、毛节瓜等。</w:t>
            </w:r>
          </w:p>
          <w:p>
            <w:pPr>
              <w:jc w:val="both"/>
            </w:pPr>
            <w:r>
              <w:rPr>
                <w:sz w:val="21"/>
              </w:rPr>
              <w:t>属同一品种规格，形状、色泽一致，瓜条均匀，无疤点，无断裂，无腐烂、畸形、异味、明显机械伤，不带泥土。</w:t>
            </w:r>
          </w:p>
          <w:p>
            <w:pPr>
              <w:jc w:val="both"/>
            </w:pPr>
            <w:r>
              <w:rPr>
                <w:sz w:val="21"/>
              </w:rPr>
              <w:t>1.8根菜类：萝卜、胡萝卜等。</w:t>
            </w:r>
          </w:p>
          <w:p>
            <w:pPr>
              <w:jc w:val="both"/>
            </w:pPr>
            <w:r>
              <w:rPr>
                <w:sz w:val="21"/>
              </w:rPr>
              <w:t>属同一品种规格，皮细光滑，大小均匀，肉质脆嫩致密新鲜，无腐烂、畸形、裂痕、糠心、异味，不带泥沙，不带茎叶和须根。</w:t>
            </w:r>
          </w:p>
          <w:p>
            <w:pPr>
              <w:jc w:val="both"/>
            </w:pPr>
            <w:r>
              <w:rPr>
                <w:sz w:val="21"/>
              </w:rPr>
              <w:t>1.9薯芋类：马铃薯、芋、姜等。</w:t>
            </w:r>
          </w:p>
          <w:p>
            <w:pPr>
              <w:jc w:val="both"/>
            </w:pPr>
            <w:r>
              <w:rPr>
                <w:sz w:val="21"/>
              </w:rPr>
              <w:t>属同一品种规格，色泽一致，不带泥沙，不带须根、茎叶，不干瘪，无腐烂、畸形、异味、明显机械伤、病虫害斑，马铃薯无发芽，皮不变绿。</w:t>
            </w:r>
          </w:p>
          <w:p>
            <w:pPr>
              <w:jc w:val="both"/>
            </w:pPr>
            <w:r>
              <w:rPr>
                <w:sz w:val="21"/>
              </w:rPr>
              <w:t>1.10葱蒜类：葱、蒜、韭菜、洋葱等。</w:t>
            </w:r>
          </w:p>
          <w:p>
            <w:pPr>
              <w:jc w:val="both"/>
            </w:pPr>
            <w:r>
              <w:rPr>
                <w:sz w:val="21"/>
              </w:rPr>
              <w:t>属同一品种规格，允许葱、青蒜类保留干净须根，葱、蒜、韭菜不带老叶，蒜头、洋葱去根去枯叶，可食部分新鲜幼嫩，无腐烂、畸形、异味。</w:t>
            </w:r>
          </w:p>
          <w:p>
            <w:pPr>
              <w:jc w:val="both"/>
            </w:pPr>
            <w:r>
              <w:rPr>
                <w:sz w:val="21"/>
              </w:rPr>
              <w:t>1.11豆类：扁豆、豌豆、毛豆等。</w:t>
            </w:r>
          </w:p>
          <w:p>
            <w:pPr>
              <w:jc w:val="both"/>
            </w:pPr>
            <w:r>
              <w:rPr>
                <w:sz w:val="21"/>
              </w:rPr>
              <w:t>属同一品种规格，形态完整，成熟度适中，无腐烂、畸形、异味，豆荚类新鲜、幼嫩、均匀，豆仁类籽粒饱满，较均匀，无发芽，不带泥土杂质。</w:t>
            </w:r>
          </w:p>
          <w:p>
            <w:pPr>
              <w:jc w:val="both"/>
            </w:pPr>
            <w:r>
              <w:rPr>
                <w:sz w:val="21"/>
              </w:rPr>
              <w:t>1.12水生菜类：藕、慈菇、茭白、马蹄、菱等。</w:t>
            </w:r>
          </w:p>
          <w:p>
            <w:pPr>
              <w:jc w:val="both"/>
            </w:pPr>
            <w:r>
              <w:rPr>
                <w:sz w:val="21"/>
              </w:rPr>
              <w:t>属同一品种规格，肉质嫩，成熟度适中，无腐烂、畸形、异味，无明显机械伤，不带泥土和杂质，不干瘪，茭白不黑心。</w:t>
            </w:r>
          </w:p>
          <w:p>
            <w:pPr>
              <w:jc w:val="both"/>
            </w:pPr>
            <w:r>
              <w:rPr>
                <w:sz w:val="21"/>
              </w:rPr>
              <w:t>1.13食用菌类：蘑菇、草菇、香菇、木耳等。</w:t>
            </w:r>
          </w:p>
          <w:p>
            <w:pPr>
              <w:jc w:val="both"/>
            </w:pPr>
            <w:r>
              <w:rPr>
                <w:sz w:val="21"/>
              </w:rPr>
              <w:t>属同一品种规格，蘑菇、草菇菌盖圆整略展开，柄粗壮，菌膜紧，菇柄切削平整，不浸泡水（蘑菇允许浸盐水保鲜），新鲜，无杂质，无畸形菇，无腐烂、异味。</w:t>
            </w:r>
          </w:p>
          <w:p>
            <w:pPr>
              <w:jc w:val="both"/>
            </w:pPr>
            <w:r>
              <w:rPr>
                <w:sz w:val="21"/>
              </w:rPr>
              <w:t>1.14芽苗类：绿豆芽、黄豆芽、香樁苗等。</w:t>
            </w:r>
          </w:p>
          <w:p>
            <w:pPr>
              <w:jc w:val="both"/>
            </w:pPr>
            <w:r>
              <w:rPr>
                <w:sz w:val="21"/>
              </w:rPr>
              <w:t>芽苗幼嫩，不带豆壳杂质，新鲜，不浸水，无腐烂、异味。</w:t>
            </w:r>
          </w:p>
          <w:p>
            <w:pPr>
              <w:jc w:val="both"/>
            </w:pPr>
            <w:r>
              <w:rPr>
                <w:sz w:val="21"/>
              </w:rPr>
              <w:t>2、配送和管理要求：</w:t>
            </w:r>
          </w:p>
          <w:p>
            <w:pPr>
              <w:jc w:val="both"/>
            </w:pPr>
            <w:r>
              <w:rPr>
                <w:sz w:val="21"/>
              </w:rPr>
              <w:t>2.1蔬菜配送的品种分主菜和配菜，配菜品种按采购人计划和要求的品种配送；</w:t>
            </w:r>
          </w:p>
          <w:p>
            <w:pPr>
              <w:jc w:val="both"/>
            </w:pPr>
            <w:r>
              <w:rPr>
                <w:sz w:val="21"/>
              </w:rPr>
              <w:t>2.2主菜品种由供求双方根据季节安排，但要确保每周有3个品种以上，每个品种不少于2次，6-9月叶菜类不少于30</w:t>
            </w:r>
            <w:r>
              <w:rPr>
                <w:sz w:val="21"/>
              </w:rPr>
              <w:t>%</w:t>
            </w:r>
            <w:r>
              <w:rPr>
                <w:sz w:val="21"/>
              </w:rPr>
              <w:t>，其余时间叶菜类不少于</w:t>
            </w:r>
            <w:r>
              <w:rPr>
                <w:sz w:val="21"/>
              </w:rPr>
              <w:t>50</w:t>
            </w:r>
            <w:r>
              <w:rPr>
                <w:sz w:val="21"/>
              </w:rPr>
              <w:t>%</w:t>
            </w:r>
            <w:r>
              <w:rPr>
                <w:sz w:val="21"/>
              </w:rPr>
              <w:t>。</w:t>
            </w:r>
            <w:r>
              <w:rPr>
                <w:sz w:val="21"/>
              </w:rPr>
              <w:t>提供不同季节的主菜品种清单作为对</w:t>
            </w:r>
            <w:r>
              <w:rPr>
                <w:sz w:val="21"/>
              </w:rPr>
              <w:t>配送管理方案</w:t>
            </w:r>
            <w:r>
              <w:rPr>
                <w:sz w:val="21"/>
              </w:rPr>
              <w:t>的响应。</w:t>
            </w:r>
          </w:p>
          <w:p>
            <w:pPr>
              <w:jc w:val="both"/>
            </w:pPr>
            <w:r>
              <w:rPr>
                <w:sz w:val="21"/>
              </w:rPr>
              <w:t>2.3蔬菜包装与标志要求：包装。容器(框、箱、袋)要求清洁、干燥、牢固、透气，无污染、无异味、无霉变现象。标志。每件包装必须按《农产品包装和标识管理办法》贴标签，并标明产地、品种、净含量、生产单位及地址和采收日期</w:t>
            </w:r>
            <w:r>
              <w:rPr>
                <w:sz w:val="21"/>
              </w:rPr>
              <w:t>，</w:t>
            </w:r>
            <w:r>
              <w:rPr>
                <w:sz w:val="21"/>
              </w:rPr>
              <w:t>投标人需在</w:t>
            </w:r>
            <w:r>
              <w:rPr>
                <w:sz w:val="21"/>
              </w:rPr>
              <w:t>质量保障措施及安全控制方案</w:t>
            </w:r>
            <w:r>
              <w:rPr>
                <w:sz w:val="21"/>
              </w:rPr>
              <w:t>中体现完全符合上述要求的图片作为证明材料</w:t>
            </w:r>
            <w:r>
              <w:rPr>
                <w:sz w:val="21"/>
              </w:rPr>
              <w:t>。</w:t>
            </w:r>
          </w:p>
          <w:p>
            <w:pPr>
              <w:jc w:val="both"/>
            </w:pPr>
            <w:r>
              <w:rPr>
                <w:sz w:val="21"/>
              </w:rPr>
              <w:t>2.4食品供应链要求：</w:t>
            </w:r>
            <w:r>
              <w:rPr>
                <w:sz w:val="21"/>
              </w:rPr>
              <w:t>投标人提供的所有</w:t>
            </w:r>
            <w:r>
              <w:rPr>
                <w:sz w:val="21"/>
              </w:rPr>
              <w:t>食品来源必须清晰</w:t>
            </w:r>
            <w:r>
              <w:rPr>
                <w:sz w:val="21"/>
              </w:rPr>
              <w:t>，在</w:t>
            </w:r>
            <w:r>
              <w:rPr>
                <w:sz w:val="21"/>
              </w:rPr>
              <w:t>质量保障措施及安全控制方案</w:t>
            </w:r>
            <w:r>
              <w:rPr>
                <w:sz w:val="21"/>
              </w:rPr>
              <w:t>中</w:t>
            </w:r>
            <w:r>
              <w:rPr>
                <w:sz w:val="21"/>
              </w:rPr>
              <w:t>提供</w:t>
            </w:r>
            <w:r>
              <w:rPr>
                <w:sz w:val="21"/>
              </w:rPr>
              <w:t>菜篮子产品供应链质量安全类证书</w:t>
            </w:r>
            <w:r>
              <w:rPr>
                <w:sz w:val="21"/>
              </w:rPr>
              <w:t>。蔬菜来源须为广东地区范围内的自有基地、商品菜基地或蔬菜专业流通市场，严禁收购散户农民的蔬菜供应</w:t>
            </w:r>
            <w:r>
              <w:rPr>
                <w:sz w:val="21"/>
              </w:rPr>
              <w:t>，</w:t>
            </w:r>
            <w:r>
              <w:rPr>
                <w:sz w:val="21"/>
              </w:rPr>
              <w:t>每天早上八点之前必须送到民警餐厅（含招待所）。</w:t>
            </w:r>
          </w:p>
          <w:p>
            <w:pPr>
              <w:jc w:val="both"/>
            </w:pPr>
            <w:r>
              <w:rPr>
                <w:sz w:val="21"/>
              </w:rPr>
              <w:t>3</w:t>
            </w:r>
            <w:r>
              <w:rPr>
                <w:sz w:val="21"/>
              </w:rPr>
              <w:t>.</w:t>
            </w:r>
            <w:r>
              <w:rPr>
                <w:sz w:val="21"/>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jc w:val="both"/>
            </w:pPr>
            <w:r>
              <w:rPr>
                <w:sz w:val="21"/>
              </w:rPr>
              <w:t>4</w:t>
            </w:r>
            <w:r>
              <w:rPr>
                <w:sz w:val="21"/>
              </w:rPr>
              <w:t>.</w:t>
            </w:r>
            <w:r>
              <w:rPr>
                <w:sz w:val="21"/>
              </w:rPr>
              <w:t>管理要求：菜地设有固定的农资存放场所，配有专用的农药喷洒用具及其他农用器具，施用农药有详尽记录，规定施药间隔期后采收；蔬菜采收后需用清洁、无污染的运输工具运抵加工地点。</w:t>
            </w:r>
          </w:p>
          <w:p>
            <w:pPr>
              <w:jc w:val="both"/>
            </w:pPr>
            <w:r>
              <w:rPr>
                <w:sz w:val="21"/>
              </w:rPr>
              <w:t>5</w:t>
            </w:r>
            <w:r>
              <w:rPr>
                <w:sz w:val="21"/>
              </w:rPr>
              <w:t>.</w:t>
            </w:r>
            <w:r>
              <w:rPr>
                <w:sz w:val="21"/>
              </w:rPr>
              <w:t>环境要求：菜地周围需设有隔离网、隔离带或其他有效的隔离措施，确保不受临近农田施肥和用药污染；菜地周围无养殖场、化工厂、垃圾处理场、医院以及污水排放管道等污染源。</w:t>
            </w:r>
          </w:p>
          <w:p>
            <w:pPr>
              <w:jc w:val="both"/>
            </w:pPr>
            <w:r>
              <w:rPr>
                <w:sz w:val="21"/>
              </w:rPr>
              <w:t>6</w:t>
            </w:r>
            <w:r>
              <w:rPr>
                <w:sz w:val="21"/>
              </w:rPr>
              <w:t>.</w:t>
            </w:r>
            <w:r>
              <w:rPr>
                <w:sz w:val="21"/>
              </w:rPr>
              <w:t>水源要求：菜地应有清洁无污染的灌溉水源；灌溉水井设有防护设施。灌溉水源需经检测验证符合规定要求，并一年内在蔬菜种植过程对水源进行</w:t>
            </w:r>
            <w:r>
              <w:rPr>
                <w:sz w:val="21"/>
              </w:rPr>
              <w:t>2次监测。</w:t>
            </w:r>
          </w:p>
          <w:p>
            <w:pPr>
              <w:jc w:val="both"/>
            </w:pPr>
            <w:r>
              <w:rPr>
                <w:sz w:val="21"/>
              </w:rPr>
              <w:t>7</w:t>
            </w:r>
            <w:r>
              <w:rPr>
                <w:sz w:val="21"/>
              </w:rPr>
              <w:t>.</w:t>
            </w:r>
            <w:r>
              <w:rPr>
                <w:sz w:val="21"/>
              </w:rPr>
              <w:t>农药要求：种植使用的农药必须符合食品安全管理部门的规定，严禁使用违禁药物；农药的采购、保管、发放、使用必须建立记录；蔬菜生产使用农药的间隔期必须符合行业规定，并且采收前</w:t>
            </w:r>
            <w:r>
              <w:rPr>
                <w:sz w:val="21"/>
              </w:rPr>
              <w:t>中标人</w:t>
            </w:r>
            <w:r>
              <w:rPr>
                <w:sz w:val="21"/>
              </w:rPr>
              <w:t>应从种植地取样检测农残项目，合格后方可供应。</w:t>
            </w:r>
          </w:p>
          <w:p>
            <w:pPr>
              <w:jc w:val="both"/>
            </w:pPr>
            <w:r>
              <w:rPr>
                <w:sz w:val="21"/>
              </w:rPr>
              <w:t>8.蔬菜卫生质量要求</w:t>
            </w:r>
            <w:r>
              <w:rPr>
                <w:sz w:val="21"/>
              </w:rPr>
              <w:t>：</w:t>
            </w:r>
          </w:p>
          <w:p>
            <w:pPr>
              <w:jc w:val="both"/>
            </w:pPr>
            <w:r>
              <w:rPr>
                <w:sz w:val="21"/>
              </w:rPr>
              <w:t>卫生质量指标，应符合我国无公害蔬菜上的卫生指标规定。</w:t>
            </w:r>
          </w:p>
          <w:tbl>
            <w:tblPr>
              <w:tblInd w:type="dxa" w:w="540"/>
              <w:tblBorders>
                <w:top w:val="none" w:color="000000" w:sz="4"/>
                <w:left w:val="none" w:color="000000" w:sz="4"/>
                <w:bottom w:val="none" w:color="000000" w:sz="4"/>
                <w:right w:val="none" w:color="000000" w:sz="4"/>
                <w:insideH w:val="none"/>
                <w:insideV w:val="none"/>
              </w:tblBorders>
            </w:tblPr>
            <w:tblGrid>
              <w:gridCol w:w="2055"/>
              <w:gridCol w:w="1725"/>
              <w:gridCol w:w="825"/>
            </w:tblGrid>
            <w:tr>
              <w:tc>
                <w:tcPr>
                  <w:tcW w:type="dxa" w:w="2055"/>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1725"/>
                  <w:tcBorders>
                    <w:top w:val="single" w:color="000000" w:sz="4"/>
                    <w:left w:val="single" w:color="000000" w:sz="4"/>
                    <w:bottom w:val="single" w:color="000000" w:sz="4"/>
                    <w:right w:val="single" w:color="000000" w:sz="4"/>
                  </w:tcBorders>
                  <w:vAlign w:val="top"/>
                </w:tcPr>
                <w:p>
                  <w:pPr>
                    <w:jc w:val="center"/>
                  </w:pPr>
                  <w:r>
                    <w:rPr>
                      <w:sz w:val="21"/>
                    </w:rPr>
                    <w:t>指标（</w:t>
                  </w:r>
                  <w:r>
                    <w:rPr>
                      <w:sz w:val="21"/>
                    </w:rPr>
                    <w:t>mg/kg）</w:t>
                  </w:r>
                </w:p>
              </w:tc>
              <w:tc>
                <w:tcPr>
                  <w:tcW w:type="dxa" w:w="825"/>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甲胺磷</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不得检出</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甲拌磷</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不得检出</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氧化乐果</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不得检出</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甲基对硫磷</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不得检出</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呋喃丹</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不得检出</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百菌清</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多菌灵</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汞（以</w:t>
                  </w:r>
                  <w:r>
                    <w:rPr>
                      <w:sz w:val="21"/>
                    </w:rPr>
                    <w:t>Hg计）</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≤0.01</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铅（以</w:t>
                  </w:r>
                  <w:r>
                    <w:rPr>
                      <w:sz w:val="21"/>
                    </w:rPr>
                    <w:t>Pb计）</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砷（以</w:t>
                  </w:r>
                  <w:r>
                    <w:rPr>
                      <w:sz w:val="21"/>
                    </w:rPr>
                    <w:t>As计）</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氟（以</w:t>
                  </w:r>
                  <w:r>
                    <w:rPr>
                      <w:sz w:val="21"/>
                    </w:rPr>
                    <w:t>F计）</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硝酸盐（以</w:t>
                  </w:r>
                  <w:r>
                    <w:rPr>
                      <w:sz w:val="21"/>
                    </w:rPr>
                    <w:t>NaNO3计）</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瓜果类</w:t>
                  </w:r>
                  <w:r>
                    <w:rPr>
                      <w:sz w:val="21"/>
                    </w:rPr>
                    <w:t>≤600；叶菜根茎类≤1200</w:t>
                  </w:r>
                </w:p>
              </w:tc>
              <w:tc>
                <w:tcPr>
                  <w:tcW w:type="dxa" w:w="825"/>
                  <w:tcBorders>
                    <w:top w:val="none" w:color="000000" w:sz="4"/>
                    <w:left w:val="single" w:color="000000" w:sz="4"/>
                    <w:bottom w:val="single" w:color="000000" w:sz="4"/>
                    <w:right w:val="single" w:color="000000" w:sz="4"/>
                  </w:tcBorders>
                  <w:vAlign w:val="top"/>
                </w:tcPr>
                <w:p>
                  <w:pPr>
                    <w:jc w:val="both"/>
                  </w:pPr>
                </w:p>
              </w:tc>
            </w:tr>
            <w:tr>
              <w:tc>
                <w:tcPr>
                  <w:tcW w:type="dxa" w:w="2055"/>
                  <w:tcBorders>
                    <w:top w:val="none" w:color="000000" w:sz="4"/>
                    <w:left w:val="single" w:color="000000" w:sz="4"/>
                    <w:bottom w:val="single" w:color="000000" w:sz="4"/>
                    <w:right w:val="single" w:color="000000" w:sz="4"/>
                  </w:tcBorders>
                  <w:vAlign w:val="top"/>
                </w:tcPr>
                <w:p>
                  <w:pPr>
                    <w:jc w:val="center"/>
                  </w:pPr>
                  <w:r>
                    <w:rPr>
                      <w:sz w:val="21"/>
                    </w:rPr>
                    <w:t>亚硝酸盐（以</w:t>
                  </w:r>
                  <w:r>
                    <w:rPr>
                      <w:sz w:val="21"/>
                    </w:rPr>
                    <w:t>NaNO2计）</w:t>
                  </w:r>
                </w:p>
              </w:tc>
              <w:tc>
                <w:tcPr>
                  <w:tcW w:type="dxa" w:w="17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25"/>
                  <w:tcBorders>
                    <w:top w:val="none" w:color="000000" w:sz="4"/>
                    <w:left w:val="single" w:color="000000" w:sz="4"/>
                    <w:bottom w:val="single" w:color="000000" w:sz="4"/>
                    <w:right w:val="single" w:color="000000" w:sz="4"/>
                  </w:tcBorders>
                  <w:vAlign w:val="top"/>
                </w:tcPr>
                <w:p>
                  <w:pPr>
                    <w:jc w:val="both"/>
                  </w:pPr>
                </w:p>
              </w:tc>
            </w:tr>
          </w:tbl>
          <w:p>
            <w:pPr>
              <w:jc w:val="both"/>
            </w:pPr>
          </w:p>
          <w:p>
            <w:r>
              <w:rPr>
                <w:color w:val="000000"/>
                <w:sz w:val="21"/>
              </w:rPr>
              <w:t>9</w:t>
            </w:r>
            <w:r>
              <w:rPr>
                <w:color w:val="000000"/>
                <w:sz w:val="21"/>
              </w:rPr>
              <w:t>.</w:t>
            </w:r>
            <w:r>
              <w:rPr>
                <w:color w:val="000000"/>
                <w:sz w:val="21"/>
              </w:rPr>
              <w:t>蔬菜验收时发现问题的处理方法：</w:t>
            </w:r>
          </w:p>
          <w:p>
            <w:r>
              <w:rPr>
                <w:color w:val="000000"/>
                <w:sz w:val="21"/>
              </w:rPr>
              <w:t>9.1按后附产品质量描述对货物质量进行抽查。</w:t>
            </w:r>
          </w:p>
          <w:p>
            <w:r>
              <w:rPr>
                <w:color w:val="000000"/>
                <w:sz w:val="21"/>
              </w:rPr>
              <w:t>9.2抽查发现食品安全质量问题的处理：对危及人身安全的食品质量问题采取零容忍措施，一经发现，当日所送同批次产品全部退货，如水产品中发现农药残留超标，发现腐败变质蔬菜等。</w:t>
            </w:r>
          </w:p>
          <w:p>
            <w:r>
              <w:rPr>
                <w:color w:val="000000"/>
                <w:sz w:val="21"/>
              </w:rPr>
              <w:t>9.3若抽查未发现问题，而在加工食用前发现部分产品质量问题，应立即通知单位伙食物资验收小组及</w:t>
            </w:r>
            <w:r>
              <w:rPr>
                <w:color w:val="000000"/>
                <w:sz w:val="21"/>
              </w:rPr>
              <w:t>中标人</w:t>
            </w:r>
            <w:r>
              <w:rPr>
                <w:color w:val="000000"/>
                <w:sz w:val="21"/>
              </w:rPr>
              <w:t>，将问题产品退货处理。</w:t>
            </w:r>
          </w:p>
          <w:p>
            <w:r>
              <w:rPr>
                <w:color w:val="000000"/>
                <w:sz w:val="21"/>
              </w:rPr>
              <w:t>10</w:t>
            </w:r>
            <w:r>
              <w:rPr>
                <w:color w:val="000000"/>
                <w:sz w:val="21"/>
              </w:rPr>
              <w:t>.</w:t>
            </w:r>
            <w:r>
              <w:rPr>
                <w:color w:val="000000"/>
                <w:sz w:val="21"/>
              </w:rPr>
              <w:t>农药使用标准：</w:t>
            </w:r>
          </w:p>
          <w:p>
            <w:r>
              <w:rPr>
                <w:color w:val="000000"/>
                <w:sz w:val="21"/>
              </w:rPr>
              <w:t>农药按其毒性来分有高毒、中毒、低毒之别，无公害果品对农药要求是优先采用低毒农药，</w:t>
            </w:r>
            <w:r>
              <w:rPr>
                <w:color w:val="000000"/>
                <w:sz w:val="21"/>
              </w:rPr>
              <w:t>有限度的使用中毒农药，严禁使用高毒、高残留农药和</w:t>
            </w:r>
            <w:r>
              <w:rPr>
                <w:color w:val="000000"/>
                <w:sz w:val="21"/>
              </w:rPr>
              <w:t>“三致”（致癌、致畸、致突变）农药。</w:t>
            </w:r>
          </w:p>
          <w:p>
            <w:r>
              <w:rPr>
                <w:color w:val="000000"/>
                <w:sz w:val="21"/>
              </w:rPr>
              <w:t>10.1禁止使用的农药品种：有机胂类杀菌剂福美胂（高残留），有机氯类杀虫剂六六六、滴滴涕（高残留）、三氯杀螨醇（含滴滴涕），有机磷类杀虫剂甲拌磷、乙拌磷、久效磷、对硫磷、甲基对硫 磺、甲胺磷、甲基异硫磷、氧化乐果（均属高毒），氨基甲酸酯类杀虫剂克百威、涕灭威、灭多 威（均属高毒）。二甲基甲脒类杀虫杀螨剂杀虫脒（慢性中毒、致癌）等</w:t>
            </w:r>
            <w:r>
              <w:rPr>
                <w:color w:val="000000"/>
                <w:sz w:val="21"/>
              </w:rPr>
              <w:t>，</w:t>
            </w:r>
            <w:r>
              <w:rPr>
                <w:color w:val="000000"/>
                <w:sz w:val="21"/>
              </w:rPr>
              <w:t>投标人针对此项条款提供具有项目经理签字的承诺函作为质量保障措施及安全控制方案</w:t>
            </w:r>
            <w:r>
              <w:rPr>
                <w:color w:val="000000"/>
                <w:sz w:val="21"/>
              </w:rPr>
              <w:t>的响应</w:t>
            </w:r>
            <w:r>
              <w:rPr>
                <w:color w:val="000000"/>
                <w:sz w:val="21"/>
              </w:rPr>
              <w:t>。</w:t>
            </w:r>
          </w:p>
          <w:p>
            <w:r>
              <w:rPr>
                <w:color w:val="000000"/>
                <w:sz w:val="21"/>
              </w:rPr>
              <w:t>10.2提倡使用的农药品种：微生物源杀虫、杀菌剂如 Bt、白僵菌、阿维菌素、中生菌素、多氧霉素、农抗120等；植物源杀虫剂如烟碱、苦参碱、印楝素、除虫菊、鱼藤、茴蒿素、松脂合剂等；昆虫生长调节剂如灭幼脲、除虫脲、卡死克、扑虱灵等；矿物源杀虫、杀菌剂如机油乳油、柴油 乳油、腐必清以及由硫酸铜和硫黄分别配制的多种药剂等；低毒、低残留化学农药如吡虫啉、马拉硫磷、辛硫磷、敌百虫、双甲脒、尼索朗、克螨特、螨死净、菌毒清、代森锰锌类（喷克、大 生 M－45）、新星、甲基托布津、多菌灵、扑海因、粉锈宁、甲霜灵、百菌清等。</w:t>
            </w:r>
          </w:p>
          <w:p>
            <w:r>
              <w:rPr>
                <w:color w:val="000000"/>
                <w:sz w:val="21"/>
              </w:rPr>
              <w:t>10.3有限制地使用中等毒性农药：主要品种有乐斯本、抗蚜威、敌敌畏、杀螟硫磷、灭扫利、功夫、歼灭、杀灭菊酯、氰戊菊酯、高效氯氰菊酯等。为了减少农药的污染，除了注意选用农药品种以外，还要严格控制农药的施用量，应在有效浓度范围内，尽量用低浓度进行防治，喷药次数要根据药剂的残效期和病虫害发生程度来定。不要随意提高用药剂量、浓度和次数，应从改进施药方法和喷药质量方面来提高药剂的防治效果。 另外，在采果前20天应停止喷洒农药，以保证果品中无残留，或虽有少量残留但不超标。</w:t>
            </w:r>
          </w:p>
          <w:p>
            <w:r>
              <w:rPr>
                <w:b/>
                <w:color w:val="000000"/>
                <w:sz w:val="21"/>
              </w:rPr>
              <w:t>（三）干货类</w:t>
            </w:r>
          </w:p>
          <w:p>
            <w:r>
              <w:rPr>
                <w:color w:val="000000"/>
                <w:sz w:val="21"/>
              </w:rPr>
              <w:t>1</w:t>
            </w:r>
            <w:r>
              <w:rPr>
                <w:color w:val="000000"/>
                <w:sz w:val="21"/>
              </w:rPr>
              <w:t>.</w:t>
            </w:r>
            <w:r>
              <w:rPr>
                <w:color w:val="000000"/>
                <w:sz w:val="21"/>
              </w:rPr>
              <w:t>质量要求：</w:t>
            </w:r>
          </w:p>
          <w:p>
            <w:r>
              <w:rPr>
                <w:color w:val="000000"/>
                <w:sz w:val="21"/>
              </w:rPr>
              <w:t>1.1中标人所提供食材质量必须要符合行业标准要求，不得有掺假、变质、变味、过期等现象出现，严禁伪劣、假冒、无证不合格物品进入仓库。</w:t>
            </w:r>
          </w:p>
          <w:p>
            <w:r>
              <w:rPr>
                <w:color w:val="000000"/>
                <w:sz w:val="21"/>
              </w:rPr>
              <w:t>1.2中标人所提供食材必须价格合理，应按照投标报价供给，否则采购人有权拒收。</w:t>
            </w:r>
          </w:p>
          <w:p>
            <w:r>
              <w:rPr>
                <w:color w:val="000000"/>
                <w:sz w:val="21"/>
              </w:rPr>
              <w:t>1.3中标人在配送过程中，如果发生出现质量问题或造成食物中毒,如变质等情况，经查实后确属中标人责任，中标人应承担全部责任，主要包括食物中毒人员医疗费、误工费、事故处理费等，直至追究刑事责任。</w:t>
            </w:r>
          </w:p>
          <w:p>
            <w:r>
              <w:rPr>
                <w:color w:val="000000"/>
                <w:sz w:val="21"/>
              </w:rPr>
              <w:t>1.4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r>
              <w:rPr>
                <w:color w:val="000000"/>
                <w:sz w:val="21"/>
              </w:rPr>
              <w:t>2</w:t>
            </w:r>
            <w:r>
              <w:rPr>
                <w:color w:val="000000"/>
                <w:sz w:val="21"/>
              </w:rPr>
              <w:t>.</w:t>
            </w:r>
            <w:r>
              <w:rPr>
                <w:color w:val="000000"/>
                <w:sz w:val="21"/>
              </w:rPr>
              <w:t>主要干货制品的质量标准：</w:t>
            </w:r>
          </w:p>
          <w:p>
            <w:r>
              <w:rPr>
                <w:color w:val="000000"/>
                <w:sz w:val="21"/>
              </w:rPr>
              <w:t>2.1肉皮：作为干肉皮，无论什么部位，体表洁净无毛，白亮无残余肥膘，无虫蛀，干爽，敲击时响声清脆，质量均匀为好，反之则为次之，如已发霉，并有哈喇味，即已变质。</w:t>
            </w:r>
          </w:p>
          <w:p>
            <w:r>
              <w:rPr>
                <w:color w:val="000000"/>
                <w:sz w:val="21"/>
              </w:rPr>
              <w:t>2.2玉兰片：玉兰片以色泽黄白、洁净、肉厚、纤维少、节较密、体长不超过 10~17cm 的为最好，肉薄节疏、纤维多而粗老的质量较差。</w:t>
            </w:r>
          </w:p>
          <w:p>
            <w:r>
              <w:rPr>
                <w:color w:val="000000"/>
                <w:sz w:val="21"/>
              </w:rPr>
              <w:t>2.3黄花菜：又名金针菜，干燥、有清香味，菜色黄亮、身条长而粗壮、条杆粗细均匀者为佳。</w:t>
            </w:r>
          </w:p>
          <w:p>
            <w:r>
              <w:rPr>
                <w:color w:val="000000"/>
                <w:sz w:val="21"/>
              </w:rPr>
              <w:t>2.4黑木耳：黑木耳的质量一般以条形大而完整，耳瓣舒展少卷曲，内厚黑，富于光泽，体干不霉，无杂质和碎者为优，反之则差。</w:t>
            </w:r>
          </w:p>
          <w:p>
            <w:r>
              <w:rPr>
                <w:color w:val="000000"/>
                <w:sz w:val="21"/>
              </w:rPr>
              <w:t>2.5银耳：银耳又称白木耳，以朵大、色洁白、有光泽、无杂质，根小、干度足，完整者为佳品， 朵小、色黄、根大、无光泽，散碎者次之；黄黑色者质量最次，依上述标准可将银耳分为上中下三等。质量好的银耳，根部易稣烂，食之柔软，质量次则根部大而发硬。</w:t>
            </w:r>
          </w:p>
          <w:p>
            <w:r>
              <w:rPr>
                <w:color w:val="000000"/>
                <w:sz w:val="21"/>
              </w:rPr>
              <w:t>2.6香菇：根据采收季节和形状不同，香菇又分为花菇、厚菇、薄菇和菇丁四类，其中以花菇质量 最好，厚菇次之，薄菇更差，菇丁质量最差。</w:t>
            </w:r>
          </w:p>
          <w:p>
            <w:r>
              <w:rPr>
                <w:color w:val="000000"/>
                <w:sz w:val="21"/>
              </w:rPr>
              <w:t>2.6.1花菇：朵小柄短，呈半球状，菇伞顶面有似菊花似的白色裂纹，肉厚、菌盖色泽淡黑，菇底 褶，通过加工呈淡黄色，身干、质嫩、有芳香气味者为质好好香菇。</w:t>
            </w:r>
          </w:p>
          <w:p>
            <w:r>
              <w:rPr>
                <w:color w:val="000000"/>
                <w:sz w:val="21"/>
              </w:rPr>
              <w:t>2.6.2厚菇：形状如伞，顶面无花纹，呈黑色并略有光泽，质嫩、肉厚、朵稍大，质量稍次。</w:t>
            </w:r>
          </w:p>
          <w:p>
            <w:r>
              <w:rPr>
                <w:color w:val="000000"/>
                <w:sz w:val="21"/>
              </w:rPr>
              <w:t>2.6.3薄菇：形状扁平、开伞、朵大、肉薄、菌盖表面浅褐色，菌褐白色，菌柄稍高，浅咖啡色， 基部稍带红色或红褐色，质量比花菇厚，菇差，味淡。</w:t>
            </w:r>
          </w:p>
          <w:p>
            <w:r>
              <w:rPr>
                <w:color w:val="000000"/>
                <w:sz w:val="21"/>
              </w:rPr>
              <w:t>2.6.4菇丁：是指未充分发育的香菇，个小，直径在 2cm 以下，味淡质差。</w:t>
            </w:r>
          </w:p>
          <w:p>
            <w:r>
              <w:rPr>
                <w:color w:val="000000"/>
                <w:sz w:val="21"/>
              </w:rPr>
              <w:t>2.7腐竹：腐竹又名豆腐皮和油皮，有一、二、三级品之分。一极品：色泽黄亮、干燥筋韧、耐贮、无碎块。 二极品：颜色较一极品灰黄、干燥无碎块。 三极品：颜色更灰黄、无光泽、易碎、筋韧性差。</w:t>
            </w:r>
          </w:p>
          <w:p>
            <w:r>
              <w:rPr>
                <w:color w:val="000000"/>
                <w:sz w:val="21"/>
              </w:rPr>
              <w:t>2.8粉丝：质量好的粉丝，粉条细长、白净、晶莹透明、丝条均匀、整齐、干燥，不易折断，无斑 点、黑迹，无霉变，有粉丝特有的光泽。</w:t>
            </w:r>
          </w:p>
          <w:p>
            <w:r>
              <w:rPr>
                <w:color w:val="000000"/>
                <w:sz w:val="21"/>
              </w:rPr>
              <w:t>2.9蹄筋：猪蹄筋的质量首先从蹄筋抽取的部位区别，后蹄筋体长而圆、粗状、光滑的品质好。前蹄筋体短而扁细、品质较差、保管完好的蹄筋应呈白色、无杂质，干、硬度高。</w:t>
            </w:r>
          </w:p>
          <w:p>
            <w:r>
              <w:rPr>
                <w:color w:val="000000"/>
                <w:sz w:val="21"/>
              </w:rPr>
              <w:t>2.10干贝：上等干贝粒大完整、黄亮干燥、肉质饱满，肉丝清晰、粗且有特殊香气。粒小、碎破、色淡无光泽者较次。破碎、发黑发霉的为变质品。</w:t>
            </w:r>
          </w:p>
          <w:p>
            <w:r>
              <w:rPr>
                <w:color w:val="000000"/>
                <w:sz w:val="21"/>
              </w:rPr>
              <w:t>2.11鱿鱼：市场上常见的鱿鱼有椭圆形和长方形，选购时应注意：体干、体形完整、光亮洁净、淡粉红色、片大头小、肉厚者为优。体形部分卷曲，尾部和背部红中透暗，两侧有微红点、体小而宽、肉薄者为次品。</w:t>
            </w:r>
          </w:p>
          <w:p>
            <w:r>
              <w:rPr>
                <w:color w:val="000000"/>
                <w:sz w:val="21"/>
              </w:rPr>
              <w:t>2.12海蛰：海蛰是由水母加工制成，选购时应注意色泽，以乳白色或淡黄色、气味清新、质厚均匀、个体完整、块大、无血黑（体肉红皮）有光泽的为上品，带有膜状血衣的为次品。</w:t>
            </w:r>
          </w:p>
          <w:p>
            <w:r>
              <w:rPr>
                <w:color w:val="000000"/>
                <w:sz w:val="21"/>
              </w:rPr>
              <w:t>2.13海参：检验标准主要是以体形的大小，肉质的厚薄及体内有无沙粒来鉴别。体形大、肉质厚、体内无沙者为上品，体形小、肉质薄、原体没剖开，体内有沙粒者较差。</w:t>
            </w:r>
          </w:p>
          <w:p>
            <w:r>
              <w:rPr>
                <w:color w:val="000000"/>
                <w:sz w:val="21"/>
              </w:rPr>
              <w:t>2.14紫菜：属海产红藻类植物，因鲜紫菜叶较宽大，经干制成长方块形，散片状卷筒，其中以卷筒形柔嫩微脆、叶薄、色紫清香鲜美的为品质优。</w:t>
            </w:r>
          </w:p>
          <w:p>
            <w:r>
              <w:rPr>
                <w:color w:val="000000"/>
                <w:sz w:val="21"/>
              </w:rPr>
              <w:t>2.15发菜：发菜是陆生褐色藻类，以藻体细长、绿黑色、柔软爽滑、干燥、无杂质的质量为优，反之则劣。</w:t>
            </w:r>
          </w:p>
          <w:p>
            <w:r>
              <w:rPr>
                <w:color w:val="000000"/>
                <w:sz w:val="21"/>
              </w:rPr>
              <w:t>2.16鱼肚：其标准一般为体大整齐、肚厚、身干、光洁明亮、无虫蛀腐者好；灰暗、肉薄、体小则次之，有虫蛀、颜色发黑、变霉则为变质品。</w:t>
            </w:r>
          </w:p>
          <w:p>
            <w:r>
              <w:rPr>
                <w:b/>
                <w:color w:val="000000"/>
                <w:sz w:val="21"/>
              </w:rPr>
              <w:t>（四）副食品</w:t>
            </w:r>
          </w:p>
          <w:p>
            <w:r>
              <w:rPr>
                <w:color w:val="000000"/>
                <w:sz w:val="21"/>
              </w:rPr>
              <w:t>1</w:t>
            </w:r>
            <w:r>
              <w:rPr>
                <w:color w:val="000000"/>
                <w:sz w:val="21"/>
              </w:rPr>
              <w:t>.</w:t>
            </w:r>
            <w:r>
              <w:rPr>
                <w:color w:val="000000"/>
                <w:sz w:val="21"/>
              </w:rPr>
              <w:t>质量要求：</w:t>
            </w:r>
          </w:p>
          <w:p>
            <w:r>
              <w:rPr>
                <w:color w:val="000000"/>
                <w:sz w:val="21"/>
              </w:rPr>
              <w:t>1.1鸡蛋：蛋壳清洁完整，色泽鲜明，无破损、裂纹，无霉斑，灯光透视时，整个蛋呈桔黄色至橙红色，蛋黄不见或略见阴影，没有霉味、酸味，臭味等不良气味，打开后蛋黄凸起、完整、有韧性，蛋白澄清、透明、稀稠分明，无异味。</w:t>
            </w:r>
          </w:p>
          <w:p>
            <w:r>
              <w:rPr>
                <w:color w:val="000000"/>
                <w:sz w:val="21"/>
              </w:rPr>
              <w:t>1.2皮蛋：外表泥状包料完整、无霉斑，包料除掉后蛋壳亦完整无损，灯光透照蛋内容物凝固不动，打开观察，整个蛋凝固、不粘壳、清洁而有弹性、呈半透明的棕黄色，闻起来有芳香，无辛辣气。</w:t>
            </w:r>
          </w:p>
          <w:p>
            <w:r>
              <w:rPr>
                <w:color w:val="000000"/>
                <w:sz w:val="21"/>
              </w:rPr>
              <w:t>1.3咸蛋：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r>
              <w:rPr>
                <w:color w:val="000000"/>
                <w:sz w:val="21"/>
              </w:rPr>
              <w:t>1.4豆腐：豆腐呈均匀的乳白色或淡黄色，稍有光泽，块形完整，软硬适度，富有一定的弹性，质地细嫩、结构均匀、无杂质，具有豆腐特有的香味，取样品品尝时口感细腻鲜嫩，味道纯正清香。</w:t>
            </w:r>
          </w:p>
          <w:p>
            <w:r>
              <w:rPr>
                <w:color w:val="000000"/>
                <w:sz w:val="21"/>
              </w:rPr>
              <w:t>1.5腐竹：为枝条或片叶状，质脆易折，条状折断有空心，无霉斑、杂质、虫蛀。呈淡黄色，有光泽。具有腐竹固有的香味，无其他任何异味，取样品品尝其滋味，具有腐竹固有的鲜香滋味。</w:t>
            </w:r>
          </w:p>
          <w:p>
            <w:r>
              <w:rPr>
                <w:color w:val="000000"/>
                <w:sz w:val="21"/>
              </w:rPr>
              <w:t>1.6大豆：大豆根据其种皮颜色和粒形可分为黄大豆、青大豆、黑大豆、其他大豆(赤色、褐色、棕色等)和饲料豆(秣食豆)五类。大豆皮色呈各种大豆固有的颜色，光彩油亮，洁净而有光泽，颗粒饱满，整齐均匀，无虫蛀粒，无杂质，无霉变。</w:t>
            </w:r>
          </w:p>
          <w:p>
            <w:r>
              <w:rPr>
                <w:color w:val="000000"/>
                <w:sz w:val="21"/>
              </w:rPr>
              <w:t>1.7花生：果荚呈土黄色或白色，果仁呈各不同品种所特有的颜色，色泽分布均匀一致，带荚花生和去荚果仁均颗粒饱满、形态完整、大小均匀，子叶肥厚而有光泽，无杂质，具有花生特有的气味、香味，无任何异味。</w:t>
            </w:r>
          </w:p>
          <w:p>
            <w:r>
              <w:rPr>
                <w:color w:val="000000"/>
                <w:sz w:val="21"/>
              </w:rPr>
              <w:t>1.8食糖：食糖根据经营习惯分为白糖、红糖、冰糖、方糖等。</w:t>
            </w:r>
          </w:p>
          <w:p>
            <w:r>
              <w:rPr>
                <w:color w:val="000000"/>
                <w:sz w:val="21"/>
              </w:rPr>
              <w:t>1.8.1白糖的感官鉴别：色泽洁白明亮，有光泽，具有白糖的正常气味，无酸味、酒味或其他外来气。</w:t>
            </w:r>
          </w:p>
          <w:p>
            <w:r>
              <w:rPr>
                <w:color w:val="000000"/>
                <w:sz w:val="21"/>
              </w:rPr>
              <w:t>1.8.2白砂糖：颗粒大如砂粒，晶粒均匀整齐，晶面明显，无碎末，糖质坚硬。</w:t>
            </w:r>
          </w:p>
          <w:p>
            <w:r>
              <w:rPr>
                <w:color w:val="000000"/>
                <w:sz w:val="21"/>
              </w:rPr>
              <w:t>1.8.3绵白糖：颗粒细小而均匀，质地绵软、潮润。</w:t>
            </w:r>
          </w:p>
          <w:p>
            <w:r>
              <w:rPr>
                <w:color w:val="000000"/>
                <w:sz w:val="21"/>
              </w:rPr>
              <w:t>1.8.4冰糖：块形完整，个粒均匀，结晶组织严密，透明或半透明，无破碎。</w:t>
            </w:r>
          </w:p>
          <w:p>
            <w:r>
              <w:rPr>
                <w:color w:val="000000"/>
                <w:sz w:val="21"/>
              </w:rPr>
              <w:t>1.8.5方糖：呈正六面体状，表面平整，无裂纹，铁边，断角，无突出砂粒，无霉斑。</w:t>
            </w:r>
          </w:p>
          <w:p>
            <w:r>
              <w:rPr>
                <w:color w:val="000000"/>
                <w:sz w:val="21"/>
              </w:rPr>
              <w:t>1.8.6凡是白糖都应干燥，晶粒松散，不粘手，不结块，无肉眼可见的杂质，白糖的水溶液应清晰透明无杂质。</w:t>
            </w:r>
          </w:p>
          <w:p>
            <w:r>
              <w:rPr>
                <w:color w:val="000000"/>
                <w:sz w:val="21"/>
              </w:rPr>
              <w:t>1.8.7红糖的感官鉴别：红糖可细分为赤砂糖和红糖两种，其中赤砂糖是机制未经洗蜜的糖，红糖是用手工制成的土糖。因为红糖的颜色有红褐、青褐、黄褐、赤红、金黄、淡黄、枣红等多种，很不一致，故凭色泽难以识别红糖的质量，应将感官鉴别的侧重点放在组织状态、气味、滋味三个指标上。呈晶粒状或粉末状，干燥而松散，不结块，不成团，杂质，其水溶液清晰，无沉淀，无悬浮物，具有甘蔗汁的清香味，无有酒味、酸味或其他外来不良气味，口味浓甜带鲜，微有糖蜜味，无焦苦味或其他外来异味。</w:t>
            </w:r>
          </w:p>
          <w:p>
            <w:r>
              <w:rPr>
                <w:color w:val="000000"/>
                <w:sz w:val="21"/>
              </w:rPr>
              <w:t>1.9辛辣料：辛辣料是采用植物果实和种子粉碎而配制成的天然植物香料，如五香粉、胡椒粉、花椒粉、咖喱粉、芥末粉等，辛辣料的主要原料有八角、花椒、胡椒、桂皮、小茴香、大茴香、辣椒、孜然等。 呈干燥状，具有该种香料植物所特有的色、香、味，没有不纯正的气味和味道，无发霉味或其他异味。</w:t>
            </w:r>
          </w:p>
          <w:p>
            <w:r>
              <w:rPr>
                <w:color w:val="000000"/>
                <w:sz w:val="21"/>
              </w:rPr>
              <w:t>1.10馒头：按照中华人民共和国国家标准GB/T 21118—2007（国家标准委关于《小麦粉馒头》国家标准）供应。</w:t>
            </w:r>
          </w:p>
          <w:p>
            <w:r>
              <w:rPr>
                <w:color w:val="000000"/>
                <w:sz w:val="21"/>
              </w:rPr>
              <w:t>2</w:t>
            </w:r>
            <w:r>
              <w:rPr>
                <w:color w:val="000000"/>
                <w:sz w:val="21"/>
              </w:rPr>
              <w:t>.</w:t>
            </w:r>
            <w:r>
              <w:rPr>
                <w:color w:val="000000"/>
                <w:sz w:val="21"/>
              </w:rPr>
              <w:t>配送要求的资质证明：（每次配送时提供）</w:t>
            </w:r>
          </w:p>
          <w:p>
            <w:r>
              <w:rPr>
                <w:color w:val="000000"/>
                <w:sz w:val="21"/>
              </w:rPr>
              <w:t>食材票证要求：</w:t>
            </w:r>
          </w:p>
          <w:tbl>
            <w:tblPr>
              <w:tblInd w:type="dxa" w:w="750"/>
              <w:tblBorders>
                <w:top w:val="none" w:color="000000" w:sz="4"/>
                <w:left w:val="none" w:color="000000" w:sz="4"/>
                <w:bottom w:val="none" w:color="000000" w:sz="4"/>
                <w:right w:val="none" w:color="000000" w:sz="4"/>
                <w:insideH w:val="none"/>
                <w:insideV w:val="none"/>
              </w:tblBorders>
            </w:tblPr>
            <w:tblGrid>
              <w:gridCol w:w="945"/>
              <w:gridCol w:w="1605"/>
              <w:gridCol w:w="2010"/>
            </w:tblGrid>
            <w:tr>
              <w:tc>
                <w:tcPr>
                  <w:tcW w:type="dxa" w:w="945"/>
                  <w:tcBorders>
                    <w:top w:val="single" w:color="000000" w:sz="4"/>
                    <w:left w:val="single" w:color="000000" w:sz="4"/>
                    <w:bottom w:val="single" w:color="000000" w:sz="4"/>
                    <w:right w:val="single" w:color="000000" w:sz="4"/>
                  </w:tcBorders>
                  <w:vAlign w:val="top"/>
                </w:tcPr>
                <w:p>
                  <w:pPr>
                    <w:jc w:val="both"/>
                  </w:pPr>
                  <w:r>
                    <w:rPr>
                      <w:sz w:val="21"/>
                    </w:rPr>
                    <w:t>类别</w:t>
                  </w:r>
                </w:p>
              </w:tc>
              <w:tc>
                <w:tcPr>
                  <w:tcW w:type="dxa" w:w="1605"/>
                  <w:tcBorders>
                    <w:top w:val="single" w:color="000000" w:sz="4"/>
                    <w:left w:val="single" w:color="000000" w:sz="4"/>
                    <w:bottom w:val="single" w:color="000000" w:sz="4"/>
                    <w:right w:val="single" w:color="000000" w:sz="4"/>
                  </w:tcBorders>
                  <w:vAlign w:val="top"/>
                </w:tcPr>
                <w:p>
                  <w:pPr>
                    <w:jc w:val="both"/>
                  </w:pPr>
                  <w:r>
                    <w:rPr>
                      <w:sz w:val="21"/>
                    </w:rPr>
                    <w:t>食材</w:t>
                  </w:r>
                  <w:r>
                    <w:rPr>
                      <w:sz w:val="21"/>
                    </w:rPr>
                    <w:t>资质名称</w:t>
                  </w:r>
                </w:p>
              </w:tc>
              <w:tc>
                <w:tcPr>
                  <w:tcW w:type="dxa" w:w="2010"/>
                  <w:tcBorders>
                    <w:top w:val="single" w:color="000000" w:sz="4"/>
                    <w:left w:val="single" w:color="000000" w:sz="4"/>
                    <w:bottom w:val="single" w:color="000000" w:sz="4"/>
                    <w:right w:val="single" w:color="000000" w:sz="4"/>
                  </w:tcBorders>
                  <w:vAlign w:val="top"/>
                </w:tcPr>
                <w:p>
                  <w:pPr>
                    <w:jc w:val="both"/>
                  </w:pPr>
                  <w:r>
                    <w:rPr>
                      <w:sz w:val="21"/>
                    </w:rPr>
                    <w:t>验收索证要求</w:t>
                  </w:r>
                </w:p>
              </w:tc>
            </w:tr>
            <w:tr>
              <w:tc>
                <w:tcPr>
                  <w:tcW w:type="dxa" w:w="945"/>
                  <w:tcBorders>
                    <w:top w:val="none" w:color="000000" w:sz="4"/>
                    <w:left w:val="single" w:color="000000" w:sz="4"/>
                    <w:bottom w:val="single" w:color="000000" w:sz="4"/>
                    <w:right w:val="single" w:color="000000" w:sz="4"/>
                  </w:tcBorders>
                  <w:vAlign w:val="top"/>
                </w:tcPr>
                <w:p>
                  <w:pPr>
                    <w:jc w:val="both"/>
                  </w:pPr>
                  <w:r>
                    <w:rPr>
                      <w:sz w:val="21"/>
                    </w:rPr>
                    <w:t>副食品</w:t>
                  </w:r>
                </w:p>
              </w:tc>
              <w:tc>
                <w:tcPr>
                  <w:tcW w:type="dxa" w:w="1605"/>
                  <w:tcBorders>
                    <w:top w:val="none" w:color="000000" w:sz="4"/>
                    <w:left w:val="single" w:color="000000" w:sz="4"/>
                    <w:bottom w:val="single" w:color="000000" w:sz="4"/>
                    <w:right w:val="single" w:color="000000" w:sz="4"/>
                  </w:tcBorders>
                  <w:vAlign w:val="top"/>
                </w:tcPr>
                <w:p>
                  <w:pPr>
                    <w:jc w:val="both"/>
                  </w:pPr>
                  <w:r>
                    <w:rPr>
                      <w:sz w:val="21"/>
                    </w:rPr>
                    <w:t>食材</w:t>
                  </w:r>
                  <w:r>
                    <w:rPr>
                      <w:sz w:val="21"/>
                    </w:rPr>
                    <w:t>清单</w:t>
                  </w:r>
                </w:p>
              </w:tc>
              <w:tc>
                <w:tcPr>
                  <w:tcW w:type="dxa" w:w="2010"/>
                  <w:tcBorders>
                    <w:top w:val="none" w:color="000000" w:sz="4"/>
                    <w:left w:val="single" w:color="000000" w:sz="4"/>
                    <w:bottom w:val="single" w:color="000000" w:sz="4"/>
                    <w:right w:val="single" w:color="000000" w:sz="4"/>
                  </w:tcBorders>
                  <w:vAlign w:val="top"/>
                </w:tcPr>
                <w:p>
                  <w:pPr>
                    <w:jc w:val="both"/>
                  </w:pPr>
                  <w:r>
                    <w:rPr>
                      <w:sz w:val="21"/>
                    </w:rPr>
                    <w:t>加盖</w:t>
                  </w:r>
                  <w:r>
                    <w:rPr>
                      <w:sz w:val="21"/>
                    </w:rPr>
                    <w:t>中标人</w:t>
                  </w:r>
                  <w:r>
                    <w:rPr>
                      <w:sz w:val="21"/>
                    </w:rPr>
                    <w:t>公章的</w:t>
                  </w:r>
                  <w:r>
                    <w:rPr>
                      <w:sz w:val="21"/>
                    </w:rPr>
                    <w:t>食材</w:t>
                  </w:r>
                  <w:r>
                    <w:rPr>
                      <w:sz w:val="21"/>
                    </w:rPr>
                    <w:t>清单（送货单）</w:t>
                  </w:r>
                </w:p>
              </w:tc>
            </w:tr>
          </w:tbl>
        </w:tc>
      </w:tr>
      <w:tr>
        <w:tc>
          <w:tcPr>
            <w:tcW w:type="dxa" w:w="2076"/>
          </w:tcPr>
          <w:p/>
        </w:tc>
        <w:tc>
          <w:tcPr>
            <w:tcW w:type="dxa" w:w="415"/>
          </w:tcPr>
          <w:p>
            <w:r>
              <w:rPr/>
              <w:t>3</w:t>
            </w:r>
          </w:p>
        </w:tc>
        <w:tc>
          <w:tcPr>
            <w:tcW w:type="dxa" w:w="5814"/>
          </w:tcPr>
          <w:p>
            <w:pPr>
              <w:jc w:val="both"/>
            </w:pPr>
            <w:r>
              <w:rPr>
                <w:sz w:val="21"/>
              </w:rPr>
              <w:t>配送</w:t>
            </w:r>
            <w:r>
              <w:rPr>
                <w:sz w:val="21"/>
              </w:rPr>
              <w:t>和管理要求</w:t>
            </w:r>
          </w:p>
          <w:p>
            <w:pPr>
              <w:jc w:val="both"/>
            </w:pPr>
            <w:r>
              <w:rPr>
                <w:sz w:val="21"/>
              </w:rPr>
              <w:t>1</w:t>
            </w:r>
            <w:r>
              <w:rPr>
                <w:sz w:val="21"/>
              </w:rPr>
              <w:t>.</w:t>
            </w:r>
            <w:r>
              <w:rPr>
                <w:sz w:val="21"/>
              </w:rPr>
              <w:t>副食品配送必须保持市场同价，中标人的食材价格与当地市场价</w:t>
            </w:r>
            <w:r>
              <w:rPr>
                <w:sz w:val="21"/>
              </w:rPr>
              <w:t>格</w:t>
            </w:r>
            <w:r>
              <w:rPr>
                <w:sz w:val="21"/>
              </w:rPr>
              <w:t>一致或略低。</w:t>
            </w:r>
          </w:p>
          <w:p>
            <w:pPr>
              <w:jc w:val="both"/>
            </w:pPr>
            <w:r>
              <w:rPr>
                <w:sz w:val="21"/>
              </w:rPr>
              <w:t>2</w:t>
            </w:r>
            <w:r>
              <w:rPr>
                <w:sz w:val="21"/>
              </w:rPr>
              <w:t>.</w:t>
            </w:r>
            <w:r>
              <w:rPr>
                <w:sz w:val="21"/>
              </w:rPr>
              <w:t>采购的食材必须符合食品卫生要求。禁止采购无证经营的食品，食品采购必须有检验合格证明。严禁采购有害、有毒、腐烂变质、酸败、霉变、生虫、污垢不洁、混有异物或其他感官性状异常的食品。禁止采购超过保质期限的食品。</w:t>
            </w:r>
          </w:p>
          <w:p>
            <w:pPr>
              <w:jc w:val="both"/>
            </w:pPr>
            <w:r>
              <w:rPr>
                <w:sz w:val="21"/>
              </w:rPr>
              <w:t>3</w:t>
            </w:r>
            <w:r>
              <w:rPr>
                <w:sz w:val="21"/>
              </w:rPr>
              <w:t>.</w:t>
            </w:r>
            <w:r>
              <w:rPr>
                <w:sz w:val="21"/>
              </w:rPr>
              <w:t>副食品包装与标志要求：包装、容器</w:t>
            </w:r>
            <w:r>
              <w:rPr>
                <w:sz w:val="21"/>
              </w:rPr>
              <w:t>(框、箱、袋)要求：清洁、干燥、牢固、透气，无污染、无异味、无霉变现象。标志：食品包装必须符合国家规范。采购的食品不得存放在有害、有毒的容器内。食品包装上必须使用原产地标识，应注明：制造商名称和厂址、食品名称和重（容）量、生产日期和保质期限以及规格和</w:t>
            </w:r>
            <w:r>
              <w:rPr>
                <w:sz w:val="21"/>
              </w:rPr>
              <w:t>SC开头的生产许可证编号</w:t>
            </w:r>
            <w:r>
              <w:rPr>
                <w:sz w:val="21"/>
              </w:rPr>
              <w:t>等。所有食品包装必须用塑料罐、胶带，不能有玻璃、铁罐或其他锋利的有伤害性的材质。</w:t>
            </w:r>
          </w:p>
          <w:p>
            <w:pPr>
              <w:jc w:val="both"/>
            </w:pPr>
            <w:r>
              <w:rPr>
                <w:sz w:val="21"/>
              </w:rPr>
              <w:t>4</w:t>
            </w:r>
            <w:r>
              <w:rPr>
                <w:sz w:val="21"/>
              </w:rPr>
              <w:t>.</w:t>
            </w:r>
            <w:r>
              <w:rPr>
                <w:sz w:val="21"/>
              </w:rPr>
              <w:t>食品供应链要求：所有食品的来源必须清晰，包装食品要有</w:t>
            </w:r>
            <w:r>
              <w:rPr>
                <w:sz w:val="21"/>
              </w:rPr>
              <w:t>SC开头的生产许可证编号</w:t>
            </w:r>
            <w:r>
              <w:rPr>
                <w:sz w:val="21"/>
              </w:rPr>
              <w:t>。</w:t>
            </w:r>
          </w:p>
          <w:p>
            <w:pPr>
              <w:jc w:val="both"/>
            </w:pPr>
            <w:r>
              <w:rPr>
                <w:sz w:val="21"/>
              </w:rPr>
              <w:t>5</w:t>
            </w:r>
            <w:r>
              <w:rPr>
                <w:sz w:val="21"/>
              </w:rPr>
              <w:t>.</w:t>
            </w:r>
            <w:r>
              <w:rPr>
                <w:sz w:val="21"/>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jc w:val="both"/>
            </w:pPr>
            <w:r>
              <w:rPr>
                <w:sz w:val="21"/>
              </w:rPr>
              <w:t>6</w:t>
            </w:r>
            <w:r>
              <w:rPr>
                <w:sz w:val="21"/>
              </w:rPr>
              <w:t>.</w:t>
            </w:r>
            <w:r>
              <w:rPr>
                <w:sz w:val="21"/>
              </w:rPr>
              <w:t>中标人必须严格按照投标描述的食材质量配送。</w:t>
            </w:r>
          </w:p>
        </w:tc>
      </w:tr>
      <w:tr>
        <w:tc>
          <w:tcPr>
            <w:tcW w:type="dxa" w:w="2076"/>
          </w:tcPr>
          <w:p/>
        </w:tc>
        <w:tc>
          <w:tcPr>
            <w:tcW w:type="dxa" w:w="415"/>
          </w:tcPr>
          <w:p>
            <w:r>
              <w:rPr/>
              <w:t>4</w:t>
            </w:r>
          </w:p>
        </w:tc>
        <w:tc>
          <w:tcPr>
            <w:tcW w:type="dxa" w:w="5814"/>
          </w:tcPr>
          <w:p>
            <w:pPr>
              <w:jc w:val="both"/>
            </w:pPr>
          </w:p>
          <w:p>
            <w:pPr>
              <w:jc w:val="both"/>
            </w:pPr>
            <w:r>
              <w:rPr>
                <w:sz w:val="21"/>
              </w:rPr>
              <w:t>配送方式</w:t>
            </w:r>
          </w:p>
          <w:p>
            <w:pPr>
              <w:jc w:val="both"/>
            </w:pPr>
            <w:r>
              <w:rPr>
                <w:sz w:val="21"/>
              </w:rPr>
              <w:t>1．</w:t>
            </w:r>
            <w:r>
              <w:rPr>
                <w:sz w:val="21"/>
              </w:rPr>
              <w:t>配送地点：广东省三水强制隔离戒毒所民警餐厅及招待所。</w:t>
            </w:r>
          </w:p>
          <w:p>
            <w:pPr>
              <w:jc w:val="both"/>
            </w:pPr>
            <w:r>
              <w:rPr>
                <w:sz w:val="21"/>
              </w:rPr>
              <w:t>2．</w:t>
            </w:r>
            <w:r>
              <w:rPr>
                <w:sz w:val="21"/>
              </w:rPr>
              <w:t>配送时间要求：合同签订后，按采购人通知，从正式配送之日起，每天</w:t>
            </w:r>
            <w:r>
              <w:rPr>
                <w:sz w:val="21"/>
              </w:rPr>
              <w:t>17：00分前，采购人将次日的配送清单发给中标人，中标人均于次日7:30点前将配送清单上的所有食材保质保量送至采购人指定地点。若配送清单上有部分食材因为季节或其他特殊原因无法提供，经采购人同意后方可调换其他食材品种。结算也以实际供货验收单为准。</w:t>
            </w:r>
          </w:p>
          <w:p>
            <w:pPr>
              <w:jc w:val="both"/>
            </w:pPr>
            <w:r>
              <w:rPr>
                <w:sz w:val="21"/>
              </w:rPr>
              <w:t>3．</w:t>
            </w:r>
            <w:r>
              <w:rPr>
                <w:sz w:val="21"/>
              </w:rPr>
              <w:t>对于不符合质量的食材采购人可退货或换货（由于产品质量而造成采购人工作人员发生安全事故时，中标人须承担全部责任）。</w:t>
            </w:r>
          </w:p>
          <w:p>
            <w:pPr>
              <w:jc w:val="both"/>
            </w:pPr>
            <w:r>
              <w:rPr>
                <w:sz w:val="21"/>
              </w:rPr>
              <w:t>4．</w:t>
            </w:r>
            <w:r>
              <w:rPr>
                <w:sz w:val="21"/>
              </w:rPr>
              <w:t>对采购人临时的配送要求，需随订随送，并在</w:t>
            </w:r>
            <w:r>
              <w:rPr>
                <w:sz w:val="21"/>
              </w:rPr>
              <w:t>1个小时内配送到采购人指定地点。</w:t>
            </w:r>
          </w:p>
          <w:p>
            <w:pPr>
              <w:jc w:val="both"/>
            </w:pPr>
            <w:r>
              <w:rPr>
                <w:sz w:val="21"/>
              </w:rPr>
              <w:t>5．</w:t>
            </w:r>
            <w:r>
              <w:rPr>
                <w:sz w:val="21"/>
              </w:rPr>
              <w:t>保证配送品种斤两的准确性</w:t>
            </w:r>
            <w:r>
              <w:rPr>
                <w:sz w:val="21"/>
              </w:rPr>
              <w:t>，</w:t>
            </w:r>
            <w:r>
              <w:rPr>
                <w:sz w:val="21"/>
              </w:rPr>
              <w:t>以采购人的验货数量为准，</w:t>
            </w:r>
            <w:r>
              <w:rPr>
                <w:sz w:val="21"/>
              </w:rPr>
              <w:t>项目经理需在整体实施方案中书面保证在验货时提供经校准合格的电子秤。</w:t>
            </w:r>
            <w:r>
              <w:rPr>
                <w:sz w:val="21"/>
              </w:rPr>
              <w:t>中标人每次随货送上一式两份的配送清单，供双方验货后签字确认，双方各持一份，作为送、收货的凭证。</w:t>
            </w:r>
          </w:p>
          <w:p>
            <w:pPr>
              <w:jc w:val="both"/>
            </w:pPr>
          </w:p>
        </w:tc>
      </w:tr>
      <w:tr>
        <w:tc>
          <w:tcPr>
            <w:tcW w:type="dxa" w:w="2076"/>
          </w:tcPr>
          <w:p/>
        </w:tc>
        <w:tc>
          <w:tcPr>
            <w:tcW w:type="dxa" w:w="415"/>
          </w:tcPr>
          <w:p>
            <w:r>
              <w:rPr/>
              <w:t>5</w:t>
            </w:r>
          </w:p>
        </w:tc>
        <w:tc>
          <w:tcPr>
            <w:tcW w:type="dxa" w:w="5814"/>
          </w:tcPr>
          <w:p>
            <w:pPr>
              <w:jc w:val="both"/>
            </w:pPr>
            <w:r>
              <w:rPr>
                <w:sz w:val="21"/>
              </w:rPr>
              <w:t>中标人的管理要求：</w:t>
            </w:r>
          </w:p>
          <w:p>
            <w:pPr>
              <w:jc w:val="both"/>
            </w:pPr>
            <w:r>
              <w:rPr>
                <w:sz w:val="21"/>
              </w:rPr>
              <w:t>（一）中标人有以下行为，经调查属实的，采购人将立即解除配送合同：</w:t>
            </w:r>
          </w:p>
          <w:p>
            <w:pPr>
              <w:jc w:val="both"/>
            </w:pPr>
            <w:r>
              <w:rPr>
                <w:sz w:val="21"/>
              </w:rPr>
              <w:t>1．弄虚作假，提供虚假材料取得中标配送资格的；</w:t>
            </w:r>
          </w:p>
          <w:p>
            <w:pPr>
              <w:jc w:val="both"/>
            </w:pPr>
            <w:r>
              <w:rPr>
                <w:sz w:val="21"/>
              </w:rPr>
              <w:t>2．中标配送项目有转包、分包行为的；</w:t>
            </w:r>
          </w:p>
          <w:p>
            <w:pPr>
              <w:jc w:val="both"/>
            </w:pPr>
            <w:r>
              <w:rPr>
                <w:sz w:val="21"/>
              </w:rPr>
              <w:t>3．经营情况发生重大变更，已经不具备承接中标配送项目能力的；</w:t>
            </w:r>
          </w:p>
          <w:p>
            <w:pPr>
              <w:jc w:val="both"/>
            </w:pPr>
            <w:r>
              <w:rPr>
                <w:sz w:val="21"/>
              </w:rPr>
              <w:t>4．无正当理由拒绝履行合同向采购人配送的；</w:t>
            </w:r>
          </w:p>
          <w:p>
            <w:pPr>
              <w:jc w:val="both"/>
            </w:pPr>
            <w:r>
              <w:rPr>
                <w:sz w:val="21"/>
              </w:rPr>
              <w:t>5．有不正当竞争行为的；</w:t>
            </w:r>
          </w:p>
          <w:p>
            <w:pPr>
              <w:jc w:val="both"/>
            </w:pPr>
            <w:r>
              <w:rPr>
                <w:sz w:val="21"/>
              </w:rPr>
              <w:t>6．因所配送食材质量原因导致采购人内部发生食品安全事故的；</w:t>
            </w:r>
          </w:p>
          <w:p>
            <w:pPr>
              <w:jc w:val="both"/>
            </w:pPr>
            <w:r>
              <w:rPr>
                <w:sz w:val="21"/>
              </w:rPr>
              <w:t>7．所配送食材存在假冒伪劣行为的；</w:t>
            </w:r>
          </w:p>
          <w:p>
            <w:pPr>
              <w:jc w:val="both"/>
            </w:pPr>
            <w:r>
              <w:rPr>
                <w:sz w:val="21"/>
              </w:rPr>
              <w:t>8．因中标人原因导致采购人单位内发生安全事故的；</w:t>
            </w:r>
          </w:p>
          <w:p>
            <w:pPr>
              <w:jc w:val="both"/>
            </w:pPr>
            <w:r>
              <w:rPr>
                <w:sz w:val="21"/>
              </w:rPr>
              <w:t>9．有其它违法违纪行为的；</w:t>
            </w:r>
          </w:p>
          <w:p>
            <w:pPr>
              <w:jc w:val="both"/>
            </w:pPr>
            <w:r>
              <w:rPr>
                <w:sz w:val="21"/>
              </w:rPr>
              <w:t>10．采购人在服务期限内对中标人实行考核制度（见</w:t>
            </w:r>
            <w:r>
              <w:rPr>
                <w:sz w:val="21"/>
              </w:rPr>
              <w:t>项目概况的《年度考核表》</w:t>
            </w:r>
            <w:r>
              <w:rPr>
                <w:sz w:val="21"/>
              </w:rPr>
              <w:t>），服务期限内（即一年内）若扣分累计达到</w:t>
            </w:r>
            <w:r>
              <w:rPr>
                <w:sz w:val="21"/>
              </w:rPr>
              <w:t>30分（含30分）以上的</w:t>
            </w:r>
            <w:r>
              <w:rPr>
                <w:sz w:val="21"/>
              </w:rPr>
              <w:t>。</w:t>
            </w:r>
          </w:p>
          <w:p>
            <w:pPr>
              <w:jc w:val="both"/>
            </w:pPr>
            <w:r>
              <w:rPr>
                <w:sz w:val="21"/>
              </w:rPr>
              <w:t>11.</w:t>
            </w:r>
            <w:r>
              <w:rPr>
                <w:sz w:val="21"/>
              </w:rPr>
              <w:t>合同履行期间，采购人的工作人员及直系亲属不得参与中标人的生产经营活动，发现类似情况，采购人有权单方终止合同，重新招标。</w:t>
            </w:r>
          </w:p>
          <w:p>
            <w:r>
              <w:rPr>
                <w:color w:val="000000"/>
                <w:sz w:val="21"/>
              </w:rPr>
              <w:t>（二）必须依据国家有关法律法规要求建立健全各项管理制度，保证食品安全，有明确的食品安全责任人。因所配送食材质量原因导致采购人内部发生食品安全事故，除解除合同外，中标人还需赔偿采购人救治经费及误工损失。</w:t>
            </w:r>
          </w:p>
          <w:p>
            <w:r>
              <w:rPr>
                <w:color w:val="000000"/>
                <w:sz w:val="21"/>
              </w:rPr>
              <w:t>（三）由于采购人工作的特殊性，中标人应做好本单位工作人员的教育工作，遵守采购人出入门岗和物品携带等各项规定</w:t>
            </w:r>
            <w:r>
              <w:rPr>
                <w:color w:val="000000"/>
                <w:sz w:val="21"/>
              </w:rPr>
              <w:t>，</w:t>
            </w:r>
            <w:r>
              <w:rPr>
                <w:color w:val="000000"/>
                <w:sz w:val="21"/>
              </w:rPr>
              <w:t>提供</w:t>
            </w:r>
            <w:r>
              <w:rPr>
                <w:color w:val="000000"/>
                <w:sz w:val="21"/>
              </w:rPr>
              <w:t>工作人员</w:t>
            </w:r>
            <w:r>
              <w:rPr>
                <w:color w:val="000000"/>
                <w:sz w:val="21"/>
              </w:rPr>
              <w:t>穿着工衣和佩戴胸卡</w:t>
            </w:r>
            <w:r>
              <w:rPr>
                <w:color w:val="000000"/>
                <w:sz w:val="21"/>
              </w:rPr>
              <w:t>的</w:t>
            </w:r>
            <w:r>
              <w:rPr>
                <w:color w:val="000000"/>
                <w:sz w:val="21"/>
              </w:rPr>
              <w:t>日常工作图片作为</w:t>
            </w:r>
            <w:r>
              <w:rPr>
                <w:color w:val="000000"/>
                <w:sz w:val="21"/>
              </w:rPr>
              <w:t>整体实施方案的</w:t>
            </w:r>
            <w:r>
              <w:rPr>
                <w:color w:val="000000"/>
                <w:sz w:val="21"/>
              </w:rPr>
              <w:t>内容</w:t>
            </w:r>
            <w:r>
              <w:rPr>
                <w:color w:val="000000"/>
                <w:sz w:val="21"/>
              </w:rPr>
              <w:t>。</w:t>
            </w:r>
          </w:p>
          <w:p>
            <w:r>
              <w:rPr>
                <w:color w:val="000000"/>
                <w:sz w:val="21"/>
              </w:rPr>
              <w:t>（四）按合同约定的食材清单配送，中标人不得转包、分包，否则采购人有权单方面终止合同，项目另行处理，中标人承担由此造成的经济损失。</w:t>
            </w:r>
          </w:p>
          <w:p>
            <w:r>
              <w:rPr>
                <w:color w:val="000000"/>
                <w:sz w:val="21"/>
              </w:rPr>
              <w:t>（五）中标人应严格按招标要求（含品种、质量等）配送，不得变更配送食材，否则，采购人有权退货。应严格按要求（含名称、产地、规格和重量等）配送，否则，采购人有权拒收。若因特殊情况（如商家停产或天气因素等）确实需要变更的个别食材，经采购人同意，必须以质量较高的同类食材代替。</w:t>
            </w:r>
          </w:p>
          <w:p>
            <w:r>
              <w:rPr>
                <w:color w:val="000000"/>
                <w:sz w:val="21"/>
              </w:rPr>
              <w:t>（六）提供项目经理人员及运送人员名单：</w:t>
            </w:r>
            <w:r>
              <w:rPr>
                <w:color w:val="000000"/>
                <w:sz w:val="21"/>
              </w:rPr>
              <w:t>项目经理人员数量一名</w:t>
            </w:r>
            <w:r>
              <w:rPr>
                <w:color w:val="000000"/>
                <w:sz w:val="21"/>
              </w:rPr>
              <w:t>，运送人员两名。项目经理及运送人员在合同签订之前须在采购人处进行备案。项目执行过程中，项目经理作为中标人的代表与采购人进行业务上的联系往来，第一年合同期内不得更换。如遇不可抗力必须更换，须事先征得采购人同意之后才能更换，且一年内不得超过两次。运送人员原则上不得更换，如确实需要更换运送人员的，中标人需经采购人同意后方得更换。因中标人未遵守上述规定而导致无法正常进入采购人单位内配送的，所有后果及经济损失由中标人自行承担。</w:t>
            </w:r>
          </w:p>
          <w:tbl>
            <w:tblPr>
              <w:tblBorders>
                <w:top w:val="none" w:color="000000" w:sz="4"/>
                <w:left w:val="none" w:color="000000" w:sz="4"/>
                <w:bottom w:val="none" w:color="000000" w:sz="4"/>
                <w:right w:val="none" w:color="000000" w:sz="4"/>
                <w:insideH w:val="none"/>
                <w:insideV w:val="none"/>
              </w:tblBorders>
            </w:tblPr>
            <w:tblGrid>
              <w:gridCol w:w="540"/>
              <w:gridCol w:w="1035"/>
              <w:gridCol w:w="960"/>
              <w:gridCol w:w="1215"/>
              <w:gridCol w:w="840"/>
              <w:gridCol w:w="525"/>
            </w:tblGrid>
            <w:tr>
              <w:tc>
                <w:tcPr>
                  <w:tcW w:type="dxa" w:w="54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35"/>
                  <w:tcBorders>
                    <w:top w:val="single" w:color="000000" w:sz="4"/>
                    <w:left w:val="single" w:color="000000" w:sz="4"/>
                    <w:bottom w:val="single" w:color="000000" w:sz="4"/>
                    <w:right w:val="single" w:color="000000" w:sz="4"/>
                  </w:tcBorders>
                  <w:vAlign w:val="top"/>
                </w:tcPr>
                <w:p>
                  <w:pPr>
                    <w:jc w:val="center"/>
                  </w:pPr>
                  <w:r>
                    <w:rPr>
                      <w:sz w:val="21"/>
                    </w:rPr>
                    <w:t>运送人员</w:t>
                  </w:r>
                </w:p>
              </w:tc>
              <w:tc>
                <w:tcPr>
                  <w:tcW w:type="dxa" w:w="960"/>
                  <w:tcBorders>
                    <w:top w:val="single" w:color="000000" w:sz="4"/>
                    <w:left w:val="single" w:color="000000" w:sz="4"/>
                    <w:bottom w:val="single" w:color="000000" w:sz="4"/>
                    <w:right w:val="single" w:color="000000" w:sz="4"/>
                  </w:tcBorders>
                  <w:vAlign w:val="top"/>
                </w:tcPr>
                <w:p>
                  <w:pPr>
                    <w:jc w:val="center"/>
                  </w:pPr>
                  <w:r>
                    <w:rPr>
                      <w:sz w:val="21"/>
                    </w:rPr>
                    <w:t>联系电话</w:t>
                  </w:r>
                </w:p>
              </w:tc>
              <w:tc>
                <w:tcPr>
                  <w:tcW w:type="dxa" w:w="1215"/>
                  <w:tcBorders>
                    <w:top w:val="single" w:color="000000" w:sz="4"/>
                    <w:left w:val="single" w:color="000000" w:sz="4"/>
                    <w:bottom w:val="single" w:color="000000" w:sz="4"/>
                    <w:right w:val="single" w:color="000000" w:sz="4"/>
                  </w:tcBorders>
                  <w:vAlign w:val="top"/>
                </w:tcPr>
                <w:p>
                  <w:pPr>
                    <w:jc w:val="center"/>
                  </w:pPr>
                  <w:r>
                    <w:rPr>
                      <w:sz w:val="21"/>
                    </w:rPr>
                    <w:t>身份证号码</w:t>
                  </w:r>
                </w:p>
              </w:tc>
              <w:tc>
                <w:tcPr>
                  <w:tcW w:type="dxa" w:w="840"/>
                  <w:tcBorders>
                    <w:top w:val="single" w:color="000000" w:sz="4"/>
                    <w:left w:val="single" w:color="000000" w:sz="4"/>
                    <w:bottom w:val="single" w:color="000000" w:sz="4"/>
                    <w:right w:val="single" w:color="000000" w:sz="4"/>
                  </w:tcBorders>
                  <w:vAlign w:val="top"/>
                </w:tcPr>
                <w:p>
                  <w:pPr>
                    <w:jc w:val="center"/>
                  </w:pPr>
                  <w:r>
                    <w:rPr>
                      <w:sz w:val="21"/>
                    </w:rPr>
                    <w:t>健康证号</w:t>
                  </w:r>
                </w:p>
              </w:tc>
              <w:tc>
                <w:tcPr>
                  <w:tcW w:type="dxa" w:w="525"/>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35"/>
                  <w:tcBorders>
                    <w:top w:val="none" w:color="000000" w:sz="4"/>
                    <w:left w:val="single" w:color="000000" w:sz="4"/>
                    <w:bottom w:val="single" w:color="000000" w:sz="4"/>
                    <w:right w:val="single" w:color="000000" w:sz="4"/>
                  </w:tcBorders>
                  <w:vAlign w:val="top"/>
                </w:tcPr>
                <w:p>
                  <w:pPr>
                    <w:jc w:val="center"/>
                  </w:pPr>
                </w:p>
              </w:tc>
              <w:tc>
                <w:tcPr>
                  <w:tcW w:type="dxa" w:w="960"/>
                  <w:tcBorders>
                    <w:top w:val="none" w:color="000000" w:sz="4"/>
                    <w:left w:val="single" w:color="000000" w:sz="4"/>
                    <w:bottom w:val="single" w:color="000000" w:sz="4"/>
                    <w:right w:val="single" w:color="000000" w:sz="4"/>
                  </w:tcBorders>
                  <w:vAlign w:val="top"/>
                </w:tcPr>
                <w:p>
                  <w:pPr>
                    <w:jc w:val="center"/>
                  </w:pPr>
                </w:p>
              </w:tc>
              <w:tc>
                <w:tcPr>
                  <w:tcW w:type="dxa" w:w="1215"/>
                  <w:tcBorders>
                    <w:top w:val="none" w:color="000000" w:sz="4"/>
                    <w:left w:val="single" w:color="000000" w:sz="4"/>
                    <w:bottom w:val="single" w:color="000000" w:sz="4"/>
                    <w:right w:val="single" w:color="000000" w:sz="4"/>
                  </w:tcBorders>
                  <w:vAlign w:val="top"/>
                </w:tcPr>
                <w:p>
                  <w:pPr>
                    <w:jc w:val="center"/>
                  </w:pPr>
                </w:p>
              </w:tc>
              <w:tc>
                <w:tcPr>
                  <w:tcW w:type="dxa" w:w="840"/>
                  <w:tcBorders>
                    <w:top w:val="none" w:color="000000" w:sz="4"/>
                    <w:left w:val="single" w:color="000000" w:sz="4"/>
                    <w:bottom w:val="single" w:color="000000" w:sz="4"/>
                    <w:right w:val="single" w:color="000000" w:sz="4"/>
                  </w:tcBorders>
                  <w:vAlign w:val="top"/>
                </w:tcPr>
                <w:p>
                  <w:pPr>
                    <w:jc w:val="center"/>
                  </w:pP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35"/>
                  <w:tcBorders>
                    <w:top w:val="none" w:color="000000" w:sz="4"/>
                    <w:left w:val="single" w:color="000000" w:sz="4"/>
                    <w:bottom w:val="single" w:color="000000" w:sz="4"/>
                    <w:right w:val="single" w:color="000000" w:sz="4"/>
                  </w:tcBorders>
                  <w:vAlign w:val="top"/>
                </w:tcPr>
                <w:p>
                  <w:pPr>
                    <w:jc w:val="center"/>
                  </w:pPr>
                </w:p>
              </w:tc>
              <w:tc>
                <w:tcPr>
                  <w:tcW w:type="dxa" w:w="960"/>
                  <w:tcBorders>
                    <w:top w:val="none" w:color="000000" w:sz="4"/>
                    <w:left w:val="single" w:color="000000" w:sz="4"/>
                    <w:bottom w:val="single" w:color="000000" w:sz="4"/>
                    <w:right w:val="single" w:color="000000" w:sz="4"/>
                  </w:tcBorders>
                  <w:vAlign w:val="top"/>
                </w:tcPr>
                <w:p>
                  <w:pPr>
                    <w:jc w:val="center"/>
                  </w:pPr>
                </w:p>
              </w:tc>
              <w:tc>
                <w:tcPr>
                  <w:tcW w:type="dxa" w:w="1215"/>
                  <w:tcBorders>
                    <w:top w:val="none" w:color="000000" w:sz="4"/>
                    <w:left w:val="single" w:color="000000" w:sz="4"/>
                    <w:bottom w:val="single" w:color="000000" w:sz="4"/>
                    <w:right w:val="single" w:color="000000" w:sz="4"/>
                  </w:tcBorders>
                  <w:vAlign w:val="top"/>
                </w:tcPr>
                <w:p>
                  <w:pPr>
                    <w:jc w:val="center"/>
                  </w:pPr>
                </w:p>
              </w:tc>
              <w:tc>
                <w:tcPr>
                  <w:tcW w:type="dxa" w:w="840"/>
                  <w:tcBorders>
                    <w:top w:val="none" w:color="000000" w:sz="4"/>
                    <w:left w:val="single" w:color="000000" w:sz="4"/>
                    <w:bottom w:val="single" w:color="000000" w:sz="4"/>
                    <w:right w:val="single" w:color="000000" w:sz="4"/>
                  </w:tcBorders>
                  <w:vAlign w:val="top"/>
                </w:tcPr>
                <w:p>
                  <w:pPr>
                    <w:jc w:val="center"/>
                  </w:pP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540"/>
                  <w:tcBorders>
                    <w:top w:val="none" w:color="000000" w:sz="4"/>
                    <w:left w:val="single" w:color="000000" w:sz="4"/>
                    <w:bottom w:val="single" w:color="000000" w:sz="4"/>
                    <w:right w:val="single" w:color="000000" w:sz="4"/>
                  </w:tcBorders>
                  <w:vAlign w:val="top"/>
                </w:tcPr>
                <w:p>
                  <w:pPr>
                    <w:jc w:val="center"/>
                  </w:pPr>
                  <w:r>
                    <w:rPr>
                      <w:sz w:val="21"/>
                    </w:rPr>
                    <w:t>…</w:t>
                  </w:r>
                </w:p>
              </w:tc>
              <w:tc>
                <w:tcPr>
                  <w:tcW w:type="dxa" w:w="1035"/>
                  <w:tcBorders>
                    <w:top w:val="none" w:color="000000" w:sz="4"/>
                    <w:left w:val="single" w:color="000000" w:sz="4"/>
                    <w:bottom w:val="single" w:color="000000" w:sz="4"/>
                    <w:right w:val="single" w:color="000000" w:sz="4"/>
                  </w:tcBorders>
                  <w:vAlign w:val="top"/>
                </w:tcPr>
                <w:p>
                  <w:pPr>
                    <w:jc w:val="center"/>
                  </w:pPr>
                </w:p>
              </w:tc>
              <w:tc>
                <w:tcPr>
                  <w:tcW w:type="dxa" w:w="960"/>
                  <w:tcBorders>
                    <w:top w:val="none" w:color="000000" w:sz="4"/>
                    <w:left w:val="single" w:color="000000" w:sz="4"/>
                    <w:bottom w:val="single" w:color="000000" w:sz="4"/>
                    <w:right w:val="single" w:color="000000" w:sz="4"/>
                  </w:tcBorders>
                  <w:vAlign w:val="top"/>
                </w:tcPr>
                <w:p>
                  <w:pPr>
                    <w:jc w:val="center"/>
                  </w:pPr>
                </w:p>
              </w:tc>
              <w:tc>
                <w:tcPr>
                  <w:tcW w:type="dxa" w:w="1215"/>
                  <w:tcBorders>
                    <w:top w:val="none" w:color="000000" w:sz="4"/>
                    <w:left w:val="single" w:color="000000" w:sz="4"/>
                    <w:bottom w:val="single" w:color="000000" w:sz="4"/>
                    <w:right w:val="single" w:color="000000" w:sz="4"/>
                  </w:tcBorders>
                  <w:vAlign w:val="top"/>
                </w:tcPr>
                <w:p>
                  <w:pPr>
                    <w:jc w:val="center"/>
                  </w:pPr>
                </w:p>
              </w:tc>
              <w:tc>
                <w:tcPr>
                  <w:tcW w:type="dxa" w:w="840"/>
                  <w:tcBorders>
                    <w:top w:val="none" w:color="000000" w:sz="4"/>
                    <w:left w:val="single" w:color="000000" w:sz="4"/>
                    <w:bottom w:val="single" w:color="000000" w:sz="4"/>
                    <w:right w:val="single" w:color="000000" w:sz="4"/>
                  </w:tcBorders>
                  <w:vAlign w:val="top"/>
                </w:tcPr>
                <w:p>
                  <w:pPr>
                    <w:jc w:val="center"/>
                  </w:pPr>
                </w:p>
              </w:tc>
              <w:tc>
                <w:tcPr>
                  <w:tcW w:type="dxa" w:w="525"/>
                  <w:tcBorders>
                    <w:top w:val="none" w:color="000000" w:sz="4"/>
                    <w:left w:val="single" w:color="000000" w:sz="4"/>
                    <w:bottom w:val="single" w:color="000000" w:sz="4"/>
                    <w:right w:val="single" w:color="000000" w:sz="4"/>
                  </w:tcBorders>
                  <w:vAlign w:val="top"/>
                </w:tcPr>
                <w:p>
                  <w:pPr>
                    <w:jc w:val="center"/>
                  </w:pPr>
                </w:p>
              </w:tc>
            </w:tr>
          </w:tbl>
          <w:p>
            <w:r>
              <w:rPr>
                <w:color w:val="000000"/>
                <w:sz w:val="21"/>
              </w:rPr>
              <w:t>合同后附以上人员劳动合同、近三个月社保证明、健康证以及运送人员的《无违法犯罪记录证明》复印件。</w:t>
            </w:r>
          </w:p>
          <w:p>
            <w:r>
              <w:rPr>
                <w:color w:val="000000"/>
                <w:sz w:val="21"/>
              </w:rPr>
              <w:t>（七）中标人必须明确配送车辆的情况，由于采购人单位特殊，配送车辆进入采购人单位必须办理《出入证》，相关配送车辆的资料须在采购人处进行备案，第一年合同期内不得更换车辆。如遇不可抗力必须更换，则须事先征得采购人同意之后才能更换，且一年内不得超过两次。</w:t>
            </w:r>
          </w:p>
          <w:p>
            <w:r>
              <w:rPr>
                <w:color w:val="000000"/>
                <w:sz w:val="21"/>
              </w:rPr>
              <w:t>（八）中标人除不可抗力，不得因其他任何理由延迟配送。采购人如遇特殊情况需推迟配送，应提前通知中标人。因中标人原因延误配送日期的（采购人要求推迟的除外），采购人有权自行采购，并由中标人承担由此产生的一切损失和费用。</w:t>
            </w:r>
          </w:p>
          <w:p>
            <w:r>
              <w:rPr>
                <w:color w:val="000000"/>
                <w:sz w:val="21"/>
              </w:rPr>
              <w:t>（九）采购人对食材进行认真验收，对不符合规格要求的食材，中标人必须无条件退货。中标人未能履行招标文件和合同所定事项</w:t>
            </w:r>
            <w:r>
              <w:rPr>
                <w:color w:val="000000"/>
                <w:sz w:val="21"/>
              </w:rPr>
              <w:t>, 或配送不合格的、假冒伪劣、以次充好的商品、或配送时的食材与中标时的食材不符，采购人退货后将记录在案，并对中标人予以处罚，除要承担因此产生的一切损失和费用外，情节严重的可取消其配送资格。</w:t>
            </w:r>
          </w:p>
          <w:p>
            <w:r>
              <w:rPr>
                <w:color w:val="000000"/>
                <w:sz w:val="21"/>
              </w:rPr>
              <w:t>（十）食品溯源要求：对食品供应链进行明确，所有食品的来源必须清晰，包装食品要有</w:t>
            </w:r>
            <w:r>
              <w:rPr>
                <w:color w:val="000000"/>
                <w:sz w:val="21"/>
              </w:rPr>
              <w:t>SC开头的生产许可证编号。食品生产企业必须获得工业产品生产许可证来源应当是受到地方政府部门监管的业流通市场或具有相关资质的厂家生产，生产食品的源头与</w:t>
            </w:r>
            <w:r>
              <w:rPr>
                <w:color w:val="000000"/>
                <w:sz w:val="21"/>
              </w:rPr>
              <w:t>中标人</w:t>
            </w:r>
            <w:r>
              <w:rPr>
                <w:color w:val="000000"/>
                <w:sz w:val="21"/>
              </w:rPr>
              <w:t>要有固定的合法的供应关系，严禁收购非标准产品配送。验收须按国家标准和行业标准。中标人应保存以下资料：</w:t>
            </w:r>
          </w:p>
          <w:p>
            <w:r>
              <w:rPr>
                <w:color w:val="000000"/>
                <w:sz w:val="21"/>
              </w:rPr>
              <w:t>1.</w:t>
            </w:r>
            <w:r>
              <w:rPr>
                <w:color w:val="000000"/>
                <w:sz w:val="21"/>
              </w:rPr>
              <w:t>中标人</w:t>
            </w:r>
            <w:r>
              <w:rPr>
                <w:color w:val="000000"/>
                <w:sz w:val="21"/>
              </w:rPr>
              <w:t>与生产企业的销售合同；</w:t>
            </w:r>
          </w:p>
          <w:p>
            <w:r>
              <w:rPr>
                <w:color w:val="000000"/>
                <w:sz w:val="21"/>
              </w:rPr>
              <w:t>2.生产企业的送货单和销售发票；</w:t>
            </w:r>
          </w:p>
          <w:p>
            <w:r>
              <w:rPr>
                <w:color w:val="000000"/>
                <w:sz w:val="21"/>
              </w:rPr>
              <w:t>3.</w:t>
            </w:r>
            <w:r>
              <w:rPr>
                <w:color w:val="000000"/>
                <w:sz w:val="21"/>
              </w:rPr>
              <w:t>中标人</w:t>
            </w:r>
            <w:r>
              <w:rPr>
                <w:color w:val="000000"/>
                <w:sz w:val="21"/>
              </w:rPr>
              <w:t>与</w:t>
            </w:r>
            <w:r>
              <w:rPr>
                <w:color w:val="000000"/>
                <w:sz w:val="21"/>
              </w:rPr>
              <w:t>采购人</w:t>
            </w:r>
            <w:r>
              <w:rPr>
                <w:color w:val="000000"/>
                <w:sz w:val="21"/>
              </w:rPr>
              <w:t>的采购合同及送货单据、销售发票。</w:t>
            </w:r>
          </w:p>
          <w:p>
            <w:r>
              <w:rPr>
                <w:color w:val="000000"/>
                <w:sz w:val="21"/>
              </w:rPr>
              <w:t>（十一）验收时需提供：生产企业方与</w:t>
            </w:r>
            <w:r>
              <w:rPr>
                <w:color w:val="000000"/>
                <w:sz w:val="21"/>
              </w:rPr>
              <w:t>中标人</w:t>
            </w:r>
            <w:r>
              <w:rPr>
                <w:color w:val="000000"/>
                <w:sz w:val="21"/>
              </w:rPr>
              <w:t>的销售合同、生产企业方的送货单和销售发票、供应商与</w:t>
            </w:r>
            <w:r>
              <w:rPr>
                <w:color w:val="000000"/>
                <w:sz w:val="21"/>
              </w:rPr>
              <w:t>采购人</w:t>
            </w:r>
            <w:r>
              <w:rPr>
                <w:color w:val="000000"/>
                <w:sz w:val="21"/>
              </w:rPr>
              <w:t>的采购合同及送货单据及销售发票等。</w:t>
            </w:r>
          </w:p>
          <w:p>
            <w:pPr>
              <w:jc w:val="both"/>
            </w:pPr>
            <w:r>
              <w:rPr>
                <w:sz w:val="21"/>
              </w:rPr>
              <w:t>（十二）采购人根据实际需要提前（以合同约定时间为准）以传真方式将下周需求通知中标人，中标人在接到通知后备齐食材，按时送抵交货地点。中标人不能按时、保质、保量供货，由采购人自行采购，并承担采购人由此造成的经济损失和接受违约处罚。</w:t>
            </w:r>
          </w:p>
        </w:tc>
      </w:tr>
      <w:tr>
        <w:tc>
          <w:tcPr>
            <w:tcW w:type="dxa" w:w="2076"/>
          </w:tcPr>
          <w:p/>
        </w:tc>
        <w:tc>
          <w:tcPr>
            <w:tcW w:type="dxa" w:w="415"/>
          </w:tcPr>
          <w:p>
            <w:r>
              <w:rPr/>
              <w:t>6</w:t>
            </w:r>
          </w:p>
        </w:tc>
        <w:tc>
          <w:tcPr>
            <w:tcW w:type="dxa" w:w="5814"/>
          </w:tcPr>
          <w:p>
            <w:pPr>
              <w:jc w:val="both"/>
            </w:pPr>
            <w:r>
              <w:rPr>
                <w:b/>
                <w:color w:val="000000"/>
                <w:sz w:val="21"/>
              </w:rPr>
              <w:t>投标人应针对本项目制定以下方案，方案应详细清晰、科学合理、可操作性强：</w:t>
            </w:r>
          </w:p>
          <w:p>
            <w:pPr>
              <w:jc w:val="both"/>
            </w:pPr>
            <w:r>
              <w:rPr>
                <w:sz w:val="21"/>
              </w:rPr>
              <w:t>（一）</w:t>
            </w:r>
            <w:r>
              <w:rPr>
                <w:sz w:val="21"/>
              </w:rPr>
              <w:t>整体实施方案</w:t>
            </w:r>
            <w:r>
              <w:rPr>
                <w:sz w:val="21"/>
              </w:rPr>
              <w:t>，包括但不仅限于食品原材料的生产、采购、加工制作及人员配置等计划安排与实施，要求每个工作环节有明确的操作标准，确保整个项目的每个环节可以顺利有序进行。</w:t>
            </w:r>
          </w:p>
          <w:p>
            <w:pPr>
              <w:jc w:val="both"/>
            </w:pPr>
            <w:r>
              <w:rPr>
                <w:sz w:val="21"/>
              </w:rPr>
              <w:t>（二）</w:t>
            </w:r>
            <w:r>
              <w:rPr>
                <w:sz w:val="21"/>
              </w:rPr>
              <w:t>针对本项目</w:t>
            </w:r>
            <w:r>
              <w:rPr>
                <w:sz w:val="21"/>
              </w:rPr>
              <w:t>配送的时间安排、退货方案、换货方案、配送食材的多样性和季节性安排</w:t>
            </w:r>
            <w:r>
              <w:rPr>
                <w:sz w:val="21"/>
              </w:rPr>
              <w:t>。</w:t>
            </w:r>
          </w:p>
          <w:p>
            <w:pPr>
              <w:jc w:val="both"/>
            </w:pPr>
            <w:r>
              <w:rPr>
                <w:sz w:val="21"/>
              </w:rPr>
              <w:t>（三）</w:t>
            </w:r>
            <w:r>
              <w:rPr>
                <w:sz w:val="21"/>
              </w:rPr>
              <w:t>质量保障措施及安全控制方案</w:t>
            </w:r>
            <w:r>
              <w:rPr>
                <w:sz w:val="21"/>
              </w:rPr>
              <w:t>，针对</w:t>
            </w:r>
            <w:r>
              <w:rPr>
                <w:sz w:val="21"/>
              </w:rPr>
              <w:t>食材流通各环节</w:t>
            </w:r>
            <w:r>
              <w:rPr>
                <w:sz w:val="21"/>
              </w:rPr>
              <w:t>，</w:t>
            </w:r>
            <w:r>
              <w:rPr>
                <w:sz w:val="21"/>
              </w:rPr>
              <w:t>包</w:t>
            </w:r>
            <w:r>
              <w:rPr>
                <w:sz w:val="21"/>
              </w:rPr>
              <w:t>括</w:t>
            </w:r>
            <w:r>
              <w:rPr>
                <w:sz w:val="21"/>
              </w:rPr>
              <w:t>但不限于来源、保鲜、分拣、加工、包装、储存、运输、检测、验收、派发及善后等</w:t>
            </w:r>
            <w:r>
              <w:rPr>
                <w:sz w:val="21"/>
              </w:rPr>
              <w:t>。要求明确每个环节可能出现质量问题以及相应的防范措施。同时要求投标人具有现代化的管理系统，包括农产品质量安全溯源类系统，</w:t>
            </w:r>
            <w:r>
              <w:rPr>
                <w:sz w:val="21"/>
              </w:rPr>
              <w:t>提供食品安全质量追溯系统的计算机软件著作权登记证书和追溯系统的使用界面截图</w:t>
            </w:r>
            <w:r>
              <w:rPr>
                <w:sz w:val="21"/>
              </w:rPr>
              <w:t>，</w:t>
            </w:r>
            <w:r>
              <w:rPr>
                <w:sz w:val="21"/>
              </w:rPr>
              <w:t>可追溯食材来源，保证质量安全。</w:t>
            </w:r>
          </w:p>
          <w:p>
            <w:pPr>
              <w:jc w:val="both"/>
            </w:pPr>
            <w:r>
              <w:rPr>
                <w:sz w:val="21"/>
              </w:rPr>
              <w:t>（四）</w:t>
            </w:r>
            <w:r>
              <w:rPr>
                <w:sz w:val="21"/>
              </w:rPr>
              <w:t>具有</w:t>
            </w:r>
            <w:r>
              <w:rPr>
                <w:sz w:val="21"/>
              </w:rPr>
              <w:t>应急处理方案及应急处置机制</w:t>
            </w:r>
            <w:r>
              <w:rPr>
                <w:sz w:val="21"/>
              </w:rPr>
              <w:t>，</w:t>
            </w:r>
            <w:r>
              <w:rPr>
                <w:sz w:val="21"/>
              </w:rPr>
              <w:t>针对食品流通环节过程可能会出现的问题或出现质量问题（包括但不仅限于发生食品安全问题处理方案、储运、货柜达不到标准致使食品变得不合格、台风、暴雨等天气影响，紧急用餐，重大节假日或活动</w:t>
            </w:r>
            <w:r>
              <w:rPr>
                <w:sz w:val="21"/>
              </w:rPr>
              <w:t>导致食材需求量加或食材品种临时发生变化</w:t>
            </w:r>
            <w:r>
              <w:rPr>
                <w:sz w:val="21"/>
              </w:rPr>
              <w:t>、</w:t>
            </w:r>
            <w:r>
              <w:rPr>
                <w:sz w:val="21"/>
              </w:rPr>
              <w:t>因突发公共卫生事件导致人员短缺、食品来源受限</w:t>
            </w:r>
            <w:r>
              <w:rPr>
                <w:sz w:val="21"/>
              </w:rPr>
              <w:t>等特殊情况）</w:t>
            </w:r>
            <w:r>
              <w:rPr>
                <w:sz w:val="21"/>
              </w:rPr>
              <w:t>提供</w:t>
            </w:r>
            <w:r>
              <w:rPr>
                <w:sz w:val="21"/>
              </w:rPr>
              <w:t>的应急处理方案</w:t>
            </w:r>
            <w:r>
              <w:rPr>
                <w:sz w:val="21"/>
              </w:rPr>
              <w:t>包含不少于两名除项目经理外的拟投入应急联系人姓名和照片及联系方式</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ind w:firstLine="480"/>
      </w:pPr>
      <w:r>
        <w:rPr/>
        <w:t>2.采购人：本项目是指</w:t>
      </w:r>
      <w:r>
        <w:rPr/>
        <w:t>广东省三水强制隔离戒毒所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预算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2）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环境标志产品政府采购品目清单的通知》（财库〔2019〕18号）、《关于印发节能产品政府采购品目清单的通知》（财库〔2019〕19号）《关于印发〈商品包装政府采购需求标准（试行）〉、〈快递包装政府采购需求标准（试行）〉的通知》等。 （3）投标人须按评审标准提供相应的证明材料，如提供材料不清晰或不齐全的，不得分。 （4）中标人领取中标通知书时须将投标文件纸质版正本1份及副本1份送至采购代理机构处归档。其内容须与加密的电子投标文件内容一致（副本可以是正本的复印件，但须加盖中标人公章）。 （5）本项目所涉及的执行标准或政策文件，如有最新，按最新的标准（文件）执行。</w:t>
            </w:r>
          </w:p>
        </w:tc>
      </w:tr>
      <w:tr>
        <w:tc>
          <w:tcPr>
            <w:tcW w:type="dxa" w:w="1051"/>
          </w:tcPr>
          <w:p>
            <w:r>
              <w:rPr/>
              <w:t>19</w:t>
            </w:r>
          </w:p>
        </w:tc>
        <w:tc>
          <w:tcPr>
            <w:tcW w:type="dxa" w:w="2252"/>
          </w:tcPr>
          <w:p>
            <w:r>
              <w:rPr/>
              <w:t>开标解密时长</w:t>
            </w:r>
          </w:p>
        </w:tc>
        <w:tc>
          <w:tcPr>
            <w:tcW w:type="dxa" w:w="5004"/>
          </w:tcPr>
          <w:p>
            <w:r>
              <w:rPr/>
              <w:t>默认时长30分钟。如遇特殊情况（网络不畅、平台故障等），则按开标时现场工作人员通知为准。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采购代理机构（https://www.gdbdzb.com/）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采购代理机构（https://www.gdbdzb.com/）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广东必鼎工程项目管理有限公司</w:t>
      </w:r>
    </w:p>
    <w:p>
      <w:pPr>
        <w:ind w:firstLine="480"/>
      </w:pPr>
      <w:r>
        <w:rPr/>
        <w:t>电话：</w:t>
      </w:r>
      <w:r>
        <w:rPr/>
        <w:t>0757-82593498</w:t>
      </w:r>
    </w:p>
    <w:p>
      <w:pPr>
        <w:ind w:firstLine="480"/>
      </w:pPr>
      <w:r>
        <w:rPr/>
        <w:t>传真：</w:t>
      </w:r>
      <w:r>
        <w:rPr/>
        <w:t>/</w:t>
      </w:r>
    </w:p>
    <w:p>
      <w:pPr>
        <w:ind w:firstLine="480"/>
      </w:pPr>
      <w:r>
        <w:rPr/>
        <w:t>邮箱：</w:t>
      </w:r>
      <w:r>
        <w:rPr/>
        <w:t>bdzbsd@163.com</w:t>
      </w:r>
    </w:p>
    <w:p>
      <w:pPr>
        <w:ind w:firstLine="480"/>
      </w:pPr>
      <w:r>
        <w:rPr/>
        <w:t>地址：</w:t>
      </w:r>
      <w:r>
        <w:rPr/>
        <w:t>佛山市顺德区大良街道办事处逢沙村委会荟智路2号车创智谷广场1栋601单元</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年-2026年民警餐厅食材配送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广东必鼎工程项目管理有限公司</w:t>
      </w:r>
      <w:r>
        <w:rPr/>
        <w:t>统一对外发布。</w:t>
      </w:r>
    </w:p>
    <w:p>
      <w:pPr>
        <w:ind w:firstLine="480"/>
      </w:pPr>
      <w:r>
        <w:rPr/>
        <w:t>（2）对</w:t>
      </w:r>
      <w:r>
        <w:rPr/>
        <w:t>广东必鼎工程项目管理有限公司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采购包1（2024年-2026年民警餐厅食材配送项目）：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采购包1（2024年-2026年民警餐厅食材配送项目）：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r>
              <w:rPr/>
              <w:t>2</w:t>
            </w:r>
          </w:p>
        </w:tc>
        <w:tc>
          <w:tcPr>
            <w:tcW w:type="dxa" w:w="3178"/>
          </w:tcPr>
          <w:p>
            <w:r>
              <w:rPr/>
              <w:t>有依法缴纳税收和社会保障资金的良好记录</w:t>
            </w:r>
          </w:p>
        </w:tc>
        <w:tc>
          <w:tcPr>
            <w:tcW w:type="dxa" w:w="4238"/>
          </w:tcPr>
          <w:p>
            <w:r>
              <w:rPr/>
              <w:t>须提供下列任一项证明材料：提供《政府采购供应商资格信用承诺函》(格式详见招标文件附件)或提供投标截止日前6个月内任意1个月依法缴纳税收和社会保障资金的相关材料。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财务会计制度情况，须提供下列任一项证明材料：提供《政府采购供应商资格信用承诺函》(格式详见招标文件附件)或提供2022年度经会计师事务所审计的财务审计报告(含四表一注，中小微企业的至少含三表一注），无法提供经审计的财务状况报告的，提供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提供“具有履行合同所必需的设备和专业技术能力”的承诺函，格式自拟。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提供《政府采购供应商资格信用承诺函》或参照投标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①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 ②供应商具有有效的《食品生产许可证》或《食品经营许可证》或销售预包装食品备案，提供有效期内的证书或证明文件复印件（如国家另有规定，则适用其规定）。【如投标人的《食品经营许可证》与营业执照合并办理的，提供扫描营业执照二维码后的有效备案信息截图】</w:t>
            </w:r>
          </w:p>
        </w:tc>
      </w:tr>
      <w:tr>
        <w:tc>
          <w:tcPr>
            <w:tcW w:type="dxa" w:w="890"/>
          </w:tcPr>
          <w:p>
            <w:r>
              <w:rPr/>
              <w:t>8</w:t>
            </w:r>
          </w:p>
        </w:tc>
        <w:tc>
          <w:tcPr>
            <w:tcW w:type="dxa" w:w="3178"/>
          </w:tcPr>
          <w:p>
            <w:r>
              <w:rPr/>
              <w:t>落实政府采购政策需满足的资格要求</w:t>
            </w:r>
          </w:p>
        </w:tc>
        <w:tc>
          <w:tcPr>
            <w:tcW w:type="dxa" w:w="4238"/>
          </w:tcPr>
          <w:p>
            <w:r>
              <w:rPr/>
              <w:t>无（采购包不专门面向中小企业采购）</w:t>
            </w:r>
          </w:p>
        </w:tc>
      </w:tr>
    </w:tbl>
    <w:p/>
    <w:p>
      <w:pPr>
        <w:ind w:firstLine="480"/>
      </w:pPr>
      <w:r>
        <w:rPr/>
        <w:t>表二符合性审查表：</w:t>
      </w:r>
    </w:p>
    <w:p>
      <w:pPr>
        <w:ind w:firstLine="480"/>
      </w:pPr>
    </w:p>
    <w:p/>
    <w:p>
      <w:r>
        <w:rPr/>
        <w:t>采购包1（2024年-2026年民警餐厅食材配送项目）：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w:t>
            </w:r>
          </w:p>
        </w:tc>
        <w:tc>
          <w:tcPr>
            <w:tcW w:type="dxa" w:w="4238"/>
          </w:tcPr>
          <w:p>
            <w:r>
              <w:rPr/>
              <w:t>按照采购文件规定要求签署、盖章且投标文件有法定代表人签字或盖个人名章（或签字人有法定代表人有效授权书）的。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w:t>
            </w:r>
          </w:p>
        </w:tc>
        <w:tc>
          <w:tcPr>
            <w:tcW w:type="dxa" w:w="4238"/>
          </w:tcPr>
          <w:p>
            <w:r>
              <w:rPr/>
              <w:t>投标报价是固定价且是唯一的，符合招标文件要求；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r>
              <w:rPr/>
              <w:t>4</w:t>
            </w:r>
          </w:p>
        </w:tc>
        <w:tc>
          <w:tcPr>
            <w:tcW w:type="dxa" w:w="3178"/>
          </w:tcPr>
          <w:p>
            <w:r>
              <w:rPr/>
              <w:t>标注“★”的实质性条款响应情况</w:t>
            </w:r>
          </w:p>
        </w:tc>
        <w:tc>
          <w:tcPr>
            <w:tcW w:type="dxa" w:w="4238"/>
          </w:tcPr>
          <w:p>
            <w:r>
              <w:rPr/>
              <w:t>投标文件完全满足采购文件的实质性条款（即标注★号条款）无负偏离的。</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其它</w:t>
            </w:r>
          </w:p>
        </w:tc>
        <w:tc>
          <w:tcPr>
            <w:tcW w:type="dxa" w:w="4238"/>
          </w:tcPr>
          <w:p>
            <w:r>
              <w:rPr/>
              <w:t>投标文件没有采购文件中规定的其他无效投标条款的。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采购包1(2024年-2026年民警餐厅食材配送项目):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技术部分40.0分</w:t>
            </w:r>
          </w:p>
          <w:p>
            <w:r>
              <w:rPr/>
              <w:t>报价得分40.0分</w:t>
            </w:r>
          </w:p>
        </w:tc>
      </w:tr>
      <w:tr>
        <w:tc>
          <w:tcPr>
            <w:tcW w:type="dxa" w:w="922"/>
            <w:gridSpan w:val="2"/>
            <w:vMerge w:val="restart"/>
          </w:tcPr>
          <w:p>
            <w:pPr>
              <w:jc w:val="center"/>
            </w:pPr>
            <w:r>
              <w:rPr/>
              <w:t>技术部分</w:t>
            </w:r>
          </w:p>
        </w:tc>
        <w:tc>
          <w:tcPr>
            <w:tcW w:type="dxa" w:w="2307"/>
          </w:tcPr>
          <w:p>
            <w:pPr>
              <w:jc w:val="left"/>
            </w:pPr>
            <w:r>
              <w:rPr/>
              <w:t>整体实施方案 (10.0分)</w:t>
            </w:r>
            <w:r>
              <w:rPr/>
              <w:t>，（等次分值选择：</w:t>
            </w:r>
            <w:r>
              <w:rPr/>
              <w:t>0.0;</w:t>
            </w:r>
            <w:r>
              <w:rPr/>
              <w:t>2.0;</w:t>
            </w:r>
            <w:r>
              <w:rPr/>
              <w:t>6.0;</w:t>
            </w:r>
            <w:r>
              <w:rPr/>
              <w:t>10.0;</w:t>
            </w:r>
            <w:r>
              <w:rPr/>
              <w:t>）</w:t>
            </w:r>
          </w:p>
        </w:tc>
        <w:tc>
          <w:tcPr>
            <w:tcW w:type="dxa" w:w="5076"/>
          </w:tcPr>
          <w:p>
            <w:pPr>
              <w:jc w:val="left"/>
            </w:pPr>
            <w:r>
              <w:rPr/>
              <w:t>根据各投标人结合对本项目采购需求组织的整体实施方案（包括但不限于食品原材料的生产、采购、加工制作、配送流程及人员配置等计划安排与实施措施）进行评审：  1、方案清晰完善，完全符合且满足采购需求的，得10分；  2、方案不够完善，基本符合且大致满足采购需求的，得6分； 3、有提供方案，但不符合或不满足采购需求的，得2分； 4、不提供不得分。</w:t>
            </w:r>
          </w:p>
        </w:tc>
      </w:tr>
      <w:tr>
        <w:tc>
          <w:tcPr>
            <w:tcW w:type="dxa" w:w="922"/>
            <w:gridSpan w:val="2"/>
            <w:vMerge/>
          </w:tcPr>
          <w:p/>
        </w:tc>
        <w:tc>
          <w:tcPr>
            <w:tcW w:type="dxa" w:w="2307"/>
          </w:tcPr>
          <w:p>
            <w:pPr>
              <w:jc w:val="left"/>
            </w:pPr>
            <w:r>
              <w:rPr/>
              <w:t>配送管理方案 (10.0分)</w:t>
            </w:r>
            <w:r>
              <w:rPr/>
              <w:t>，（等次分值选择：</w:t>
            </w:r>
            <w:r>
              <w:rPr/>
              <w:t>0.0;</w:t>
            </w:r>
            <w:r>
              <w:rPr/>
              <w:t>2.0;</w:t>
            </w:r>
            <w:r>
              <w:rPr/>
              <w:t>6.0;</w:t>
            </w:r>
            <w:r>
              <w:rPr/>
              <w:t>10.0;</w:t>
            </w:r>
            <w:r>
              <w:rPr/>
              <w:t>）</w:t>
            </w:r>
          </w:p>
        </w:tc>
        <w:tc>
          <w:tcPr>
            <w:tcW w:type="dxa" w:w="5076"/>
          </w:tcPr>
          <w:p>
            <w:pPr>
              <w:jc w:val="left"/>
            </w:pPr>
            <w:r>
              <w:rPr/>
              <w:t>根据各投标人结合对本项目采购需求提供的配送管理方案（包括配送时间安排、退货方案、换货方案、配送食材的多样性和季节性安排等）进行评审：  1、方案清晰完善，完全符合且满足采购需求的，得10分；  2、方案不够完善，基本符合且大致满足采购需求的，得6分；  3、有提供方案，但不符合或不满足采购需求的，得2分；  4、不提供不得分。</w:t>
            </w:r>
          </w:p>
        </w:tc>
      </w:tr>
      <w:tr>
        <w:tc>
          <w:tcPr>
            <w:tcW w:type="dxa" w:w="922"/>
            <w:gridSpan w:val="2"/>
            <w:vMerge/>
          </w:tcPr>
          <w:p/>
        </w:tc>
        <w:tc>
          <w:tcPr>
            <w:tcW w:type="dxa" w:w="2307"/>
          </w:tcPr>
          <w:p>
            <w:pPr>
              <w:jc w:val="left"/>
            </w:pPr>
            <w:r>
              <w:rPr/>
              <w:t>质量保障措施及安全控制方案 (10.0分)</w:t>
            </w:r>
            <w:r>
              <w:rPr/>
              <w:t>，（等次分值选择：</w:t>
            </w:r>
            <w:r>
              <w:rPr/>
              <w:t>0.0;</w:t>
            </w:r>
            <w:r>
              <w:rPr/>
              <w:t>2.0;</w:t>
            </w:r>
            <w:r>
              <w:rPr/>
              <w:t>6.0;</w:t>
            </w:r>
            <w:r>
              <w:rPr/>
              <w:t>10.0;</w:t>
            </w:r>
            <w:r>
              <w:rPr/>
              <w:t>）</w:t>
            </w:r>
          </w:p>
        </w:tc>
        <w:tc>
          <w:tcPr>
            <w:tcW w:type="dxa" w:w="5076"/>
          </w:tcPr>
          <w:p>
            <w:pPr>
              <w:jc w:val="left"/>
            </w:pPr>
            <w:r>
              <w:rPr/>
              <w:t>根据各投标人结合对本项目采购需求提供在食材流通各环节（包括但不限于来源、保鲜、分拣、加工、包装、储存、运输、检测、验收、派发及善后等）的质量保障措施及安全控制方案进行评审：   1、方案清晰完善，完全符合且满足采购需求的，得10分；  2、方案不够完善，基本符合且大致满足采购需求的，得6分；  3、有提供方案，但不符合或不满足采购需求的，得2分；  4、不提供不得分。</w:t>
            </w:r>
          </w:p>
        </w:tc>
      </w:tr>
      <w:tr>
        <w:tc>
          <w:tcPr>
            <w:tcW w:type="dxa" w:w="922"/>
            <w:gridSpan w:val="2"/>
            <w:vMerge/>
          </w:tcPr>
          <w:p/>
        </w:tc>
        <w:tc>
          <w:tcPr>
            <w:tcW w:type="dxa" w:w="2307"/>
          </w:tcPr>
          <w:p>
            <w:pPr>
              <w:jc w:val="left"/>
            </w:pPr>
            <w:r>
              <w:rPr/>
              <w:t>应急处理方案及应急处置机制 (10.0分)</w:t>
            </w:r>
            <w:r>
              <w:rPr/>
              <w:t>，（等次分值选择：</w:t>
            </w:r>
            <w:r>
              <w:rPr/>
              <w:t>0.0;</w:t>
            </w:r>
            <w:r>
              <w:rPr/>
              <w:t>2.0;</w:t>
            </w:r>
            <w:r>
              <w:rPr/>
              <w:t>6.0;</w:t>
            </w:r>
            <w:r>
              <w:rPr/>
              <w:t>10.0;</w:t>
            </w:r>
            <w:r>
              <w:rPr/>
              <w:t>）</w:t>
            </w:r>
          </w:p>
        </w:tc>
        <w:tc>
          <w:tcPr>
            <w:tcW w:type="dxa" w:w="5076"/>
          </w:tcPr>
          <w:p>
            <w:pPr>
              <w:jc w:val="left"/>
            </w:pPr>
            <w:r>
              <w:rPr/>
              <w:t>根据各投标人结合对本项目采购需求提供针对食品流通环节过程可能会出现的问题或出现质量问题（包括但不仅限于发生食品安全问题处理方案、储运、货柜达不到标准致使食品变得不合格、台风、暴雨等天气影响，紧急用餐，重大节假日或活动等特殊情况）作出的应急处理方案和补救措施： 1、方案清晰完善，完全符合且满足采购需求的，得10分；  2、方案不够完善，基本符合且大致满足采购需求的，得6分；  3、有提供方案，但不符合或不满足采购需求的，得2分；  4、不提供不得分。</w:t>
            </w:r>
          </w:p>
        </w:tc>
      </w:tr>
      <w:tr>
        <w:tc>
          <w:tcPr>
            <w:tcW w:type="dxa" w:w="922"/>
            <w:gridSpan w:val="2"/>
            <w:vMerge w:val="restart"/>
          </w:tcPr>
          <w:p>
            <w:pPr>
              <w:jc w:val="center"/>
            </w:pPr>
            <w:r>
              <w:rPr/>
              <w:t>商务部分</w:t>
            </w:r>
          </w:p>
        </w:tc>
        <w:tc>
          <w:tcPr>
            <w:tcW w:type="dxa" w:w="2307"/>
          </w:tcPr>
          <w:p>
            <w:pPr>
              <w:jc w:val="left"/>
            </w:pPr>
            <w:r>
              <w:rPr/>
              <w:t>食品安全保障 (8.0分)</w:t>
            </w:r>
          </w:p>
        </w:tc>
        <w:tc>
          <w:tcPr>
            <w:tcW w:type="dxa" w:w="5076"/>
          </w:tcPr>
          <w:p>
            <w:pPr>
              <w:jc w:val="left"/>
            </w:pPr>
            <w:r>
              <w:rPr/>
              <w:t>根据投标人提供的食品质量安全要求承诺及食品安全保险进行评审，食品质量安全要求承诺符合采购需求，且食品安全保险满足以下情况： 已购买食品安全保险（累计赔偿额度）或承诺中标后购买（提供承诺函，格式自拟）均可得分。  1、投标人已购买/承诺中标后购买食品安全责任保险年保额≥5000万元，且每次食品安全事故每人（人身伤害责任险）额度≥50万元，得8分；  2、3000万元≤投标人已购买/承诺中标后购买食品安全责任保险年保额＜5000万元的，且每次食品安全事故每人（人身伤害责任险）额度≥50万元，得6分；  3、1000万元≤投标人已购买/承诺中标后购买食品安全责任保险年保额＜3000万元的，且每次食品安全事故每人（人身伤害责任险）额度≥50万元，得4分； 4、其余情况不得分。  注：（1）若投标人已购买食品安全保险，须提供有效期内食品安全责任保险保单扫描件、发票扫描件并加盖公章，如保险单无法涵盖本项目合同履行期限的，还需提供续期至本项目合同履行期限结束的承诺函，且续期的保额不得低于原标准，格式自拟；如保单无法显示每人赔偿限额，还需提供保险公司加盖公章的每人赔偿限额证明材料，未提供或提供不全不得分。（2）若投标人承诺中标后购买，提供承诺函，格式自拟，不提供不得分。未按评审要求及提供证明材料的不得分。</w:t>
            </w:r>
          </w:p>
        </w:tc>
      </w:tr>
      <w:tr>
        <w:tc>
          <w:tcPr>
            <w:tcW w:type="dxa" w:w="922"/>
            <w:gridSpan w:val="2"/>
            <w:vMerge/>
          </w:tcPr>
          <w:p/>
        </w:tc>
        <w:tc>
          <w:tcPr>
            <w:tcW w:type="dxa" w:w="2307"/>
          </w:tcPr>
          <w:p>
            <w:pPr>
              <w:jc w:val="left"/>
            </w:pPr>
            <w:r>
              <w:rPr/>
              <w:t>企业认证 (4.0分)</w:t>
            </w:r>
          </w:p>
        </w:tc>
        <w:tc>
          <w:tcPr>
            <w:tcW w:type="dxa" w:w="5076"/>
          </w:tcPr>
          <w:p>
            <w:pPr>
              <w:jc w:val="left"/>
            </w:pPr>
            <w:r>
              <w:rPr/>
              <w:t>根据投标人获得以下有效证书进行评审：  1.具有有效的食品安全管理体系认证证书，得1分；  2.具有有效的质量管理体系认证证书，得1分；  3.具有有效的供应链安全管理认证证书，得1分。  4.具有有效的职业健康安全管理体系认证证书，得1 分 注：本项最高得4分。须同时提供证书扫描件及国家认证网站http://cx.cnca.cn/CertECloud/index/index/page“有效”截图作证明材料并加盖投标人公章。</w:t>
            </w:r>
          </w:p>
        </w:tc>
      </w:tr>
      <w:tr>
        <w:tc>
          <w:tcPr>
            <w:tcW w:type="dxa" w:w="922"/>
            <w:gridSpan w:val="2"/>
            <w:vMerge/>
          </w:tcPr>
          <w:p/>
        </w:tc>
        <w:tc>
          <w:tcPr>
            <w:tcW w:type="dxa" w:w="2307"/>
          </w:tcPr>
          <w:p>
            <w:pPr>
              <w:jc w:val="left"/>
            </w:pPr>
            <w:r>
              <w:rPr/>
              <w:t>同类业绩 (8.0分)</w:t>
            </w:r>
          </w:p>
        </w:tc>
        <w:tc>
          <w:tcPr>
            <w:tcW w:type="dxa" w:w="5076"/>
          </w:tcPr>
          <w:p>
            <w:pPr>
              <w:jc w:val="left"/>
            </w:pPr>
            <w:r>
              <w:rPr/>
              <w:t>投标人2021年1月1日至今（以合同签订日期为准）曾承接食材配送项目业绩（合同扫描件和发票及收款回单并加盖投标人公章），每提供一项得2分，最高得8分。 注：如投标提供多项同一委托单位（以合同签订单位为准）同一年内的业绩，只按最高级别的一项计算一次得分。（2）须提供相关证明材料，不提供不得分。</w:t>
            </w:r>
          </w:p>
        </w:tc>
      </w:tr>
      <w:tr>
        <w:tc>
          <w:tcPr>
            <w:tcW w:type="dxa" w:w="922"/>
            <w:gridSpan w:val="2"/>
          </w:tcPr>
          <w:p>
            <w:pPr>
              <w:jc w:val="center"/>
            </w:pPr>
            <w:r>
              <w:rPr/>
              <w:t>投标报价</w:t>
            </w:r>
          </w:p>
        </w:tc>
        <w:tc>
          <w:tcPr>
            <w:tcW w:type="dxa" w:w="2307"/>
          </w:tcPr>
          <w:p>
            <w:pPr>
              <w:jc w:val="left"/>
            </w:pPr>
            <w:r>
              <w:rPr/>
              <w:t>投标价格得分 (40.0分)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0"/>
        </w:rPr>
        <w:t>广东省政府采购</w:t>
      </w:r>
    </w:p>
    <w:p>
      <w:pPr>
        <w:jc w:val="both"/>
      </w:pPr>
      <w:r>
        <w:rPr>
          <w:sz w:val="24"/>
        </w:rPr>
        <w:t xml:space="preserve"> </w:t>
      </w:r>
    </w:p>
    <w:p>
      <w:pPr>
        <w:jc w:val="center"/>
      </w:pPr>
      <w:r>
        <w:rPr>
          <w:b/>
          <w:sz w:val="40"/>
        </w:rPr>
        <w:t>合　同　书</w:t>
      </w:r>
    </w:p>
    <w:p>
      <w:pPr>
        <w:jc w:val="center"/>
      </w:pPr>
      <w:r>
        <w:br/>
      </w:r>
      <w:r>
        <w:br/>
      </w:r>
      <w:r>
        <w:br/>
      </w:r>
      <w:r>
        <w:br/>
      </w:r>
      <w:r>
        <w:br/>
      </w:r>
      <w:r>
        <w:br/>
      </w:r>
      <w:r>
        <w:br/>
      </w:r>
      <w:r>
        <w:br/>
      </w:r>
      <w:r>
        <w:rPr>
          <w:sz w:val="24"/>
        </w:rPr>
        <w:t xml:space="preserve"> </w:t>
      </w:r>
    </w:p>
    <w:p>
      <w:pPr>
        <w:ind w:firstLine="1120"/>
        <w:jc w:val="both"/>
      </w:pPr>
      <w:r>
        <w:rPr>
          <w:color w:val="222222"/>
          <w:sz w:val="28"/>
        </w:rPr>
        <w:t>采购计划编号：</w:t>
      </w:r>
      <w:r>
        <w:rPr>
          <w:sz w:val="24"/>
          <w:u w:val="single"/>
        </w:rPr>
        <w:t xml:space="preserve"> </w:t>
      </w:r>
      <w:r>
        <w:rPr>
          <w:color w:val="222222"/>
          <w:sz w:val="28"/>
          <w:u w:val="single"/>
        </w:rPr>
        <w:t>440001-2024-00318</w:t>
      </w:r>
    </w:p>
    <w:p>
      <w:pPr>
        <w:jc w:val="both"/>
      </w:pPr>
      <w:r>
        <w:rPr>
          <w:sz w:val="24"/>
        </w:rPr>
        <w:t xml:space="preserve"> </w:t>
      </w:r>
    </w:p>
    <w:p>
      <w:pPr>
        <w:jc w:val="center"/>
      </w:pPr>
      <w:r>
        <w:rPr>
          <w:color w:val="222222"/>
          <w:sz w:val="28"/>
        </w:rPr>
        <w:t>项目编号：</w:t>
      </w:r>
      <w:r>
        <w:rPr>
          <w:sz w:val="24"/>
          <w:u w:val="single"/>
        </w:rPr>
        <w:t xml:space="preserve">                              </w:t>
      </w:r>
    </w:p>
    <w:p>
      <w:pPr>
        <w:jc w:val="both"/>
      </w:pPr>
      <w:r>
        <w:rPr>
          <w:sz w:val="24"/>
        </w:rPr>
        <w:t xml:space="preserve"> </w:t>
      </w:r>
    </w:p>
    <w:p>
      <w:pPr>
        <w:jc w:val="center"/>
      </w:pPr>
      <w:r>
        <w:rPr>
          <w:sz w:val="24"/>
        </w:rPr>
        <w:t xml:space="preserve"> </w:t>
      </w:r>
      <w:r>
        <w:rPr>
          <w:color w:val="222222"/>
          <w:sz w:val="28"/>
        </w:rPr>
        <w:t>项目名称：</w:t>
      </w:r>
      <w:r>
        <w:rPr>
          <w:color w:val="222222"/>
          <w:sz w:val="28"/>
          <w:u w:val="single"/>
        </w:rPr>
        <w:t>2024</w:t>
      </w:r>
      <w:r>
        <w:rPr>
          <w:color w:val="222222"/>
          <w:sz w:val="28"/>
          <w:u w:val="single"/>
        </w:rPr>
        <w:t>年</w:t>
      </w:r>
      <w:r>
        <w:rPr>
          <w:color w:val="222222"/>
          <w:sz w:val="28"/>
          <w:u w:val="single"/>
        </w:rPr>
        <w:t>-2026</w:t>
      </w:r>
      <w:r>
        <w:rPr>
          <w:color w:val="222222"/>
          <w:sz w:val="28"/>
          <w:u w:val="single"/>
        </w:rPr>
        <w:t>年民警餐厅食材配送服务项目</w:t>
      </w:r>
    </w:p>
    <w:p>
      <w:pPr>
        <w:jc w:val="left"/>
      </w:pPr>
      <w:r>
        <w:rPr>
          <w:sz w:val="24"/>
        </w:rPr>
        <w:t xml:space="preserve"> </w:t>
      </w:r>
    </w:p>
    <w:p>
      <w:pPr>
        <w:jc w:val="left"/>
      </w:pPr>
      <w:r>
        <w:rPr>
          <w:sz w:val="24"/>
        </w:rPr>
        <w:t xml:space="preserve"> </w:t>
      </w:r>
    </w:p>
    <w:p>
      <w:pPr>
        <w:jc w:val="both"/>
      </w:pPr>
      <w:r>
        <w:rPr>
          <w:b/>
          <w:sz w:val="21"/>
        </w:rPr>
        <w:t>甲方：</w:t>
      </w:r>
      <w:r>
        <w:rPr>
          <w:b/>
          <w:sz w:val="21"/>
        </w:rPr>
        <w:t xml:space="preserve"> </w:t>
      </w:r>
      <w:r>
        <w:rPr>
          <w:b/>
          <w:sz w:val="21"/>
        </w:rPr>
        <w:t>广东省三水强制隔离戒毒所</w:t>
      </w:r>
    </w:p>
    <w:p>
      <w:pPr>
        <w:jc w:val="both"/>
      </w:pPr>
      <w:r>
        <w:rPr>
          <w:color w:val="222222"/>
          <w:sz w:val="21"/>
        </w:rPr>
        <w:t>电话：</w:t>
      </w:r>
      <w:r>
        <w:rPr>
          <w:color w:val="222222"/>
          <w:sz w:val="21"/>
        </w:rPr>
        <w:t xml:space="preserve"> 0757-66830327</w:t>
      </w:r>
    </w:p>
    <w:p>
      <w:pPr>
        <w:jc w:val="both"/>
      </w:pPr>
      <w:r>
        <w:rPr>
          <w:color w:val="222222"/>
          <w:sz w:val="21"/>
        </w:rPr>
        <w:t>地址：</w:t>
      </w:r>
      <w:r>
        <w:rPr>
          <w:color w:val="222222"/>
          <w:sz w:val="21"/>
        </w:rPr>
        <w:t xml:space="preserve"> </w:t>
      </w:r>
      <w:r>
        <w:rPr>
          <w:sz w:val="21"/>
        </w:rPr>
        <w:t>佛山市三水区三水农场</w:t>
      </w:r>
    </w:p>
    <w:p>
      <w:pPr>
        <w:jc w:val="both"/>
      </w:pPr>
      <w:r>
        <w:rPr>
          <w:b/>
          <w:sz w:val="21"/>
        </w:rPr>
        <w:t>乙方：</w:t>
      </w:r>
      <w:r>
        <w:rPr>
          <w:b/>
          <w:sz w:val="21"/>
        </w:rPr>
        <w:t xml:space="preserve"> </w:t>
      </w:r>
      <w:r>
        <w:rPr>
          <w:sz w:val="21"/>
          <w:u w:val="single"/>
        </w:rPr>
        <w:t xml:space="preserve">  </w:t>
      </w:r>
    </w:p>
    <w:p>
      <w:pPr>
        <w:jc w:val="both"/>
      </w:pPr>
      <w:r>
        <w:rPr>
          <w:color w:val="222222"/>
          <w:sz w:val="21"/>
        </w:rPr>
        <w:t>电话：</w:t>
      </w:r>
      <w:r>
        <w:rPr>
          <w:color w:val="222222"/>
          <w:sz w:val="21"/>
        </w:rPr>
        <w:t xml:space="preserve"> </w:t>
      </w:r>
      <w:r>
        <w:rPr>
          <w:sz w:val="21"/>
          <w:u w:val="single"/>
        </w:rPr>
        <w:t xml:space="preserve">   </w:t>
      </w:r>
    </w:p>
    <w:p>
      <w:pPr>
        <w:jc w:val="both"/>
      </w:pPr>
      <w:r>
        <w:rPr>
          <w:color w:val="222222"/>
          <w:sz w:val="21"/>
        </w:rPr>
        <w:t>地址：</w:t>
      </w:r>
      <w:r>
        <w:rPr>
          <w:color w:val="222222"/>
          <w:sz w:val="21"/>
        </w:rPr>
        <w:t xml:space="preserve"> </w:t>
      </w:r>
      <w:r>
        <w:rPr>
          <w:sz w:val="21"/>
          <w:u w:val="single"/>
        </w:rPr>
        <w:t xml:space="preserve">   </w:t>
      </w:r>
    </w:p>
    <w:p>
      <w:pPr>
        <w:jc w:val="both"/>
      </w:pPr>
      <w:r>
        <w:rPr>
          <w:color w:val="222222"/>
          <w:sz w:val="21"/>
        </w:rPr>
        <w:t xml:space="preserve">   根据 </w:t>
      </w:r>
      <w:r>
        <w:rPr>
          <w:color w:val="222222"/>
          <w:sz w:val="21"/>
          <w:u w:val="single"/>
        </w:rPr>
        <w:t>2024年-2026年民警餐厅食材配送服务</w:t>
      </w:r>
      <w:r>
        <w:rPr>
          <w:sz w:val="21"/>
          <w:u w:val="single"/>
        </w:rPr>
        <w:t>项目</w:t>
      </w:r>
      <w:r>
        <w:rPr>
          <w:sz w:val="21"/>
          <w:u w:val="single"/>
        </w:rPr>
        <w:t xml:space="preserve"> </w:t>
      </w:r>
      <w:r>
        <w:rPr>
          <w:color w:val="222222"/>
          <w:sz w:val="21"/>
        </w:rPr>
        <w:t>的采购结果，按照《中华人民共和国政府采购法》，《中华人民共和国民法典</w:t>
      </w:r>
      <w:r>
        <w:rPr>
          <w:color w:val="222222"/>
          <w:sz w:val="21"/>
        </w:rPr>
        <w:t>(合同编)》的规定，经双方协商，本着平等互利和诚实信用的原则，一致同意遵守本合同如下。</w:t>
      </w:r>
    </w:p>
    <w:p>
      <w:pPr>
        <w:jc w:val="both"/>
      </w:pPr>
      <w:r>
        <w:rPr>
          <w:b/>
          <w:sz w:val="21"/>
        </w:rPr>
        <w:t>一、合同金额</w:t>
      </w:r>
    </w:p>
    <w:p>
      <w:pPr>
        <w:ind w:firstLine="420"/>
        <w:jc w:val="both"/>
      </w:pPr>
      <w:r>
        <w:rPr>
          <w:color w:val="222222"/>
          <w:sz w:val="21"/>
        </w:rPr>
        <w:t>合同金额为（大写）：</w:t>
      </w:r>
      <w:r>
        <w:rPr>
          <w:color w:val="222222"/>
          <w:sz w:val="21"/>
        </w:rPr>
        <w:t>_____________元（￥_________）</w:t>
      </w:r>
    </w:p>
    <w:p>
      <w:pPr>
        <w:ind w:firstLine="420"/>
        <w:jc w:val="both"/>
      </w:pPr>
      <w:r>
        <w:rPr>
          <w:color w:val="222222"/>
          <w:sz w:val="21"/>
        </w:rPr>
        <w:t>合同折扣率</w:t>
      </w:r>
      <w:r>
        <w:rPr>
          <w:color w:val="222222"/>
          <w:sz w:val="21"/>
        </w:rPr>
        <w:t>为（大写）：</w:t>
      </w:r>
      <w:r>
        <w:rPr>
          <w:color w:val="222222"/>
          <w:sz w:val="21"/>
        </w:rPr>
        <w:t>_____________（</w:t>
      </w:r>
      <w:r>
        <w:rPr>
          <w:color w:val="222222"/>
          <w:sz w:val="21"/>
        </w:rPr>
        <w:t>小写</w:t>
      </w:r>
      <w:r>
        <w:rPr>
          <w:color w:val="222222"/>
          <w:sz w:val="21"/>
        </w:rPr>
        <w:t>_________）</w:t>
      </w:r>
    </w:p>
    <w:p>
      <w:pPr>
        <w:ind w:firstLine="420"/>
        <w:jc w:val="both"/>
      </w:pPr>
      <w:r>
        <w:rPr>
          <w:color w:val="222222"/>
          <w:sz w:val="21"/>
        </w:rPr>
        <w:t>合同金额包含食材的购置、配送、粗加工、分拣、包装、仓储、运输、保险、装卸、堆放、保险、损耗、退换、售后服务、检验检疫费、质量检测费、雇员费用、管理费和全额税费等，以及合同实施过程中的应预见和不可预见的一切费用。</w:t>
      </w:r>
    </w:p>
    <w:p>
      <w:pPr>
        <w:jc w:val="both"/>
      </w:pPr>
      <w:r>
        <w:rPr>
          <w:b/>
          <w:sz w:val="21"/>
        </w:rPr>
        <w:t>二、总体要求</w:t>
      </w:r>
    </w:p>
    <w:p>
      <w:pPr>
        <w:ind w:firstLine="420"/>
        <w:jc w:val="both"/>
      </w:pPr>
      <w:r>
        <w:rPr>
          <w:sz w:val="21"/>
        </w:rPr>
        <w:t>1．</w:t>
      </w:r>
      <w:r>
        <w:rPr>
          <w:sz w:val="21"/>
        </w:rPr>
        <w:t>乙方</w:t>
      </w:r>
      <w:r>
        <w:rPr>
          <w:sz w:val="21"/>
        </w:rPr>
        <w:t>配送的食材必须符合《中华人民共和国食品卫生法》要求；必须符合国家有关行业标准；必须货真价实、均能提供相应批次的合格检验证明；必须各项技术指标完全符合国家有关质量检测、环保标准及产品出厂标准。食材保证无异味、无霉烂变质，如不符合招标文件所描述的质量标准，必须退货并承担违约责任。</w:t>
      </w:r>
    </w:p>
    <w:p>
      <w:pPr>
        <w:ind w:firstLine="420"/>
        <w:jc w:val="both"/>
      </w:pPr>
      <w:r>
        <w:rPr>
          <w:sz w:val="21"/>
        </w:rPr>
        <w:t>2．</w:t>
      </w:r>
      <w:r>
        <w:rPr>
          <w:sz w:val="21"/>
        </w:rPr>
        <w:t>乙方</w:t>
      </w:r>
      <w:r>
        <w:rPr>
          <w:sz w:val="21"/>
        </w:rPr>
        <w:t>必须负责食材的运输、质量检测等工作，所产生的费用由</w:t>
      </w:r>
      <w:r>
        <w:rPr>
          <w:sz w:val="21"/>
        </w:rPr>
        <w:t>乙方</w:t>
      </w:r>
      <w:r>
        <w:rPr>
          <w:sz w:val="21"/>
        </w:rPr>
        <w:t>负责。</w:t>
      </w:r>
    </w:p>
    <w:p>
      <w:pPr>
        <w:ind w:firstLine="420"/>
        <w:jc w:val="both"/>
      </w:pPr>
      <w:r>
        <w:rPr>
          <w:sz w:val="21"/>
        </w:rPr>
        <w:t>3．食材具体需求量以实际供应前一天</w:t>
      </w:r>
      <w:r>
        <w:rPr>
          <w:sz w:val="21"/>
        </w:rPr>
        <w:t>甲方</w:t>
      </w:r>
      <w:r>
        <w:rPr>
          <w:sz w:val="21"/>
        </w:rPr>
        <w:t>通知的为准。</w:t>
      </w:r>
    </w:p>
    <w:p>
      <w:pPr>
        <w:ind w:firstLine="420"/>
        <w:jc w:val="both"/>
      </w:pPr>
      <w:r>
        <w:rPr>
          <w:sz w:val="21"/>
        </w:rPr>
        <w:t>4．</w:t>
      </w:r>
      <w:r>
        <w:rPr>
          <w:sz w:val="21"/>
        </w:rPr>
        <w:t>乙方</w:t>
      </w:r>
      <w:r>
        <w:rPr>
          <w:sz w:val="21"/>
        </w:rPr>
        <w:t>不得将中标项目转包、分包，否则</w:t>
      </w:r>
      <w:r>
        <w:rPr>
          <w:sz w:val="21"/>
        </w:rPr>
        <w:t>甲方</w:t>
      </w:r>
      <w:r>
        <w:rPr>
          <w:sz w:val="21"/>
        </w:rPr>
        <w:t>有权单方终止合同</w:t>
      </w:r>
      <w:r>
        <w:rPr>
          <w:sz w:val="21"/>
        </w:rPr>
        <w:t>,由此产生的一切经济损失由</w:t>
      </w:r>
      <w:r>
        <w:rPr>
          <w:sz w:val="21"/>
        </w:rPr>
        <w:t>乙方</w:t>
      </w:r>
      <w:r>
        <w:rPr>
          <w:sz w:val="21"/>
        </w:rPr>
        <w:t>自行承担。</w:t>
      </w:r>
    </w:p>
    <w:p>
      <w:pPr>
        <w:ind w:firstLine="420"/>
        <w:jc w:val="both"/>
      </w:pPr>
      <w:r>
        <w:rPr>
          <w:sz w:val="21"/>
        </w:rPr>
        <w:t>5．</w:t>
      </w:r>
      <w:r>
        <w:rPr>
          <w:sz w:val="21"/>
        </w:rPr>
        <w:t>甲方</w:t>
      </w:r>
      <w:r>
        <w:rPr>
          <w:sz w:val="21"/>
        </w:rPr>
        <w:t>每年可不定期不少于五次，要求</w:t>
      </w:r>
      <w:r>
        <w:rPr>
          <w:sz w:val="21"/>
        </w:rPr>
        <w:t>乙方</w:t>
      </w:r>
      <w:r>
        <w:rPr>
          <w:sz w:val="21"/>
        </w:rPr>
        <w:t>提供</w:t>
      </w:r>
      <w:r>
        <w:rPr>
          <w:sz w:val="21"/>
        </w:rPr>
        <w:t>甲方</w:t>
      </w:r>
      <w:r>
        <w:rPr>
          <w:sz w:val="21"/>
        </w:rPr>
        <w:t>所指定食材的质量或安全检验报告。食材质量检验的费用由</w:t>
      </w:r>
      <w:r>
        <w:rPr>
          <w:sz w:val="21"/>
        </w:rPr>
        <w:t>乙方</w:t>
      </w:r>
      <w:r>
        <w:rPr>
          <w:sz w:val="21"/>
        </w:rPr>
        <w:t>承担。检验在</w:t>
      </w:r>
      <w:r>
        <w:rPr>
          <w:sz w:val="21"/>
        </w:rPr>
        <w:t>乙方</w:t>
      </w:r>
      <w:r>
        <w:rPr>
          <w:sz w:val="21"/>
        </w:rPr>
        <w:t>交货的最终目的地进行。</w:t>
      </w:r>
    </w:p>
    <w:p>
      <w:pPr>
        <w:ind w:firstLine="420"/>
        <w:jc w:val="both"/>
      </w:pPr>
      <w:r>
        <w:rPr>
          <w:sz w:val="21"/>
        </w:rPr>
        <w:t>6．</w:t>
      </w:r>
      <w:r>
        <w:rPr>
          <w:sz w:val="21"/>
        </w:rPr>
        <w:t>乙方</w:t>
      </w:r>
      <w:r>
        <w:rPr>
          <w:sz w:val="21"/>
        </w:rPr>
        <w:t>应积极配合</w:t>
      </w:r>
      <w:r>
        <w:rPr>
          <w:sz w:val="21"/>
        </w:rPr>
        <w:t>甲方</w:t>
      </w:r>
      <w:r>
        <w:rPr>
          <w:sz w:val="21"/>
        </w:rPr>
        <w:t>解决特殊情况下所需要的接待用餐，如果不能全部提供需要的计划材料清单上的食材，由</w:t>
      </w:r>
      <w:r>
        <w:rPr>
          <w:sz w:val="21"/>
        </w:rPr>
        <w:t>甲方</w:t>
      </w:r>
      <w:r>
        <w:rPr>
          <w:sz w:val="21"/>
        </w:rPr>
        <w:t>代买的，</w:t>
      </w:r>
      <w:r>
        <w:rPr>
          <w:sz w:val="21"/>
        </w:rPr>
        <w:t>乙方</w:t>
      </w:r>
      <w:r>
        <w:rPr>
          <w:sz w:val="21"/>
        </w:rPr>
        <w:t>需要实报实销发生的相关费用。</w:t>
      </w:r>
    </w:p>
    <w:p>
      <w:pPr>
        <w:ind w:firstLine="420"/>
        <w:jc w:val="both"/>
      </w:pPr>
      <w:r>
        <w:rPr>
          <w:sz w:val="21"/>
        </w:rPr>
        <w:t>7．由于</w:t>
      </w:r>
      <w:r>
        <w:rPr>
          <w:sz w:val="21"/>
        </w:rPr>
        <w:t>甲方</w:t>
      </w:r>
      <w:r>
        <w:rPr>
          <w:sz w:val="21"/>
        </w:rPr>
        <w:t>工作的特殊性，</w:t>
      </w:r>
      <w:r>
        <w:rPr>
          <w:sz w:val="21"/>
        </w:rPr>
        <w:t>乙方</w:t>
      </w:r>
      <w:r>
        <w:rPr>
          <w:sz w:val="21"/>
        </w:rPr>
        <w:t>应做好本单位工作人员的教育工作，提供完善、合理的培训教育方案，并承诺在服务期间遵守</w:t>
      </w:r>
      <w:r>
        <w:rPr>
          <w:sz w:val="21"/>
        </w:rPr>
        <w:t>甲方</w:t>
      </w:r>
      <w:r>
        <w:rPr>
          <w:sz w:val="21"/>
        </w:rPr>
        <w:t>各项规定。</w:t>
      </w:r>
    </w:p>
    <w:p>
      <w:pPr>
        <w:ind w:firstLine="420"/>
        <w:jc w:val="both"/>
      </w:pPr>
      <w:r>
        <w:rPr>
          <w:sz w:val="21"/>
        </w:rPr>
        <w:t>8．</w:t>
      </w:r>
      <w:r>
        <w:rPr>
          <w:sz w:val="21"/>
        </w:rPr>
        <w:t>乙方</w:t>
      </w:r>
      <w:r>
        <w:rPr>
          <w:sz w:val="21"/>
        </w:rPr>
        <w:t>除不可抗力，不得因其他任何理由延迟送货。</w:t>
      </w:r>
      <w:r>
        <w:rPr>
          <w:sz w:val="21"/>
        </w:rPr>
        <w:t>甲方</w:t>
      </w:r>
      <w:r>
        <w:rPr>
          <w:sz w:val="21"/>
        </w:rPr>
        <w:t>如遇特殊情况需推迟送货，应提前通知</w:t>
      </w:r>
      <w:r>
        <w:rPr>
          <w:sz w:val="21"/>
        </w:rPr>
        <w:t>乙方</w:t>
      </w:r>
      <w:r>
        <w:rPr>
          <w:sz w:val="21"/>
        </w:rPr>
        <w:t>。因</w:t>
      </w:r>
      <w:r>
        <w:rPr>
          <w:sz w:val="21"/>
        </w:rPr>
        <w:t>乙方</w:t>
      </w:r>
      <w:r>
        <w:rPr>
          <w:sz w:val="21"/>
        </w:rPr>
        <w:t>原因延误交货日期的（</w:t>
      </w:r>
      <w:r>
        <w:rPr>
          <w:sz w:val="21"/>
        </w:rPr>
        <w:t>甲方</w:t>
      </w:r>
      <w:r>
        <w:rPr>
          <w:sz w:val="21"/>
        </w:rPr>
        <w:t>要求推迟的除外），</w:t>
      </w:r>
      <w:r>
        <w:rPr>
          <w:sz w:val="21"/>
        </w:rPr>
        <w:t>甲方</w:t>
      </w:r>
      <w:r>
        <w:rPr>
          <w:sz w:val="21"/>
        </w:rPr>
        <w:t>有权自行采购，并由</w:t>
      </w:r>
      <w:r>
        <w:rPr>
          <w:sz w:val="21"/>
        </w:rPr>
        <w:t>乙方</w:t>
      </w:r>
      <w:r>
        <w:rPr>
          <w:sz w:val="21"/>
        </w:rPr>
        <w:t>承担由此产生的一切损失和费用。</w:t>
      </w:r>
    </w:p>
    <w:p>
      <w:pPr>
        <w:ind w:firstLine="420"/>
        <w:jc w:val="both"/>
      </w:pPr>
      <w:r>
        <w:rPr>
          <w:sz w:val="21"/>
        </w:rPr>
        <w:t>9．</w:t>
      </w:r>
      <w:r>
        <w:rPr>
          <w:sz w:val="21"/>
        </w:rPr>
        <w:t>乙方</w:t>
      </w:r>
      <w:r>
        <w:rPr>
          <w:sz w:val="21"/>
        </w:rPr>
        <w:t>不得变更供应食材，应严格按投标要求（含商标、名称、产地、规格和重量等）供应，否则，</w:t>
      </w:r>
      <w:r>
        <w:rPr>
          <w:sz w:val="21"/>
        </w:rPr>
        <w:t>甲方</w:t>
      </w:r>
      <w:r>
        <w:rPr>
          <w:sz w:val="21"/>
        </w:rPr>
        <w:t>有权拒收。如因市场流通问题确实需要变更的，应书面向</w:t>
      </w:r>
      <w:r>
        <w:rPr>
          <w:sz w:val="21"/>
        </w:rPr>
        <w:t>甲方</w:t>
      </w:r>
      <w:r>
        <w:rPr>
          <w:sz w:val="21"/>
        </w:rPr>
        <w:t>申请。</w:t>
      </w:r>
    </w:p>
    <w:p>
      <w:pPr>
        <w:ind w:firstLine="420"/>
        <w:jc w:val="both"/>
      </w:pPr>
      <w:r>
        <w:rPr>
          <w:sz w:val="21"/>
        </w:rPr>
        <w:t>10．</w:t>
      </w:r>
      <w:r>
        <w:rPr>
          <w:sz w:val="21"/>
        </w:rPr>
        <w:t>甲方</w:t>
      </w:r>
      <w:r>
        <w:rPr>
          <w:sz w:val="21"/>
        </w:rPr>
        <w:t>按合同对食材进行验收，对不符合规格要求的食材，</w:t>
      </w:r>
      <w:r>
        <w:rPr>
          <w:sz w:val="21"/>
        </w:rPr>
        <w:t>乙方</w:t>
      </w:r>
      <w:r>
        <w:rPr>
          <w:sz w:val="21"/>
        </w:rPr>
        <w:t>必须无条件退货；</w:t>
      </w:r>
      <w:r>
        <w:rPr>
          <w:sz w:val="21"/>
        </w:rPr>
        <w:t>乙方</w:t>
      </w:r>
      <w:r>
        <w:rPr>
          <w:sz w:val="21"/>
        </w:rPr>
        <w:t>未能履行招标文件和合同所定事项</w:t>
      </w:r>
      <w:r>
        <w:rPr>
          <w:sz w:val="21"/>
        </w:rPr>
        <w:t>, 或供应不合格的、假冒伪劣、以次充好的商品，</w:t>
      </w:r>
      <w:r>
        <w:rPr>
          <w:sz w:val="21"/>
        </w:rPr>
        <w:t>甲方</w:t>
      </w:r>
      <w:r>
        <w:rPr>
          <w:sz w:val="21"/>
        </w:rPr>
        <w:t>退货后将记录在案，并对</w:t>
      </w:r>
      <w:r>
        <w:rPr>
          <w:sz w:val="21"/>
        </w:rPr>
        <w:t>乙方</w:t>
      </w:r>
      <w:r>
        <w:rPr>
          <w:sz w:val="21"/>
        </w:rPr>
        <w:t>予以处罚，除要承担因此产生的一切损失和费用外，情节严重的可取消其供应资格。</w:t>
      </w:r>
    </w:p>
    <w:p>
      <w:pPr>
        <w:ind w:firstLine="420"/>
        <w:jc w:val="both"/>
      </w:pPr>
      <w:r>
        <w:rPr>
          <w:sz w:val="21"/>
        </w:rPr>
        <w:t>11.</w:t>
      </w:r>
      <w:r>
        <w:rPr>
          <w:sz w:val="21"/>
        </w:rPr>
        <w:t>乙方</w:t>
      </w:r>
      <w:r>
        <w:rPr>
          <w:sz w:val="21"/>
        </w:rPr>
        <w:t>需为本项目每年投保食品安全责任险，其提供的食材及配送服务须服从</w:t>
      </w:r>
      <w:r>
        <w:rPr>
          <w:sz w:val="21"/>
        </w:rPr>
        <w:t>甲方</w:t>
      </w:r>
      <w:r>
        <w:rPr>
          <w:sz w:val="21"/>
        </w:rPr>
        <w:t>的监督、管理。</w:t>
      </w:r>
    </w:p>
    <w:p>
      <w:pPr>
        <w:jc w:val="both"/>
      </w:pPr>
      <w:r>
        <w:rPr>
          <w:b/>
          <w:sz w:val="21"/>
        </w:rPr>
        <w:t>三、食材质量管理要求</w:t>
      </w:r>
    </w:p>
    <w:p>
      <w:pPr>
        <w:jc w:val="both"/>
      </w:pPr>
      <w:r>
        <w:rPr>
          <w:b/>
          <w:sz w:val="21"/>
        </w:rPr>
        <w:t>（一）肉类（含生鲜、冻品、鱼类、熟食等）</w:t>
      </w:r>
    </w:p>
    <w:p>
      <w:pPr>
        <w:ind w:firstLine="420"/>
        <w:jc w:val="both"/>
      </w:pPr>
      <w:r>
        <w:rPr>
          <w:sz w:val="21"/>
        </w:rPr>
        <w:t>1</w:t>
      </w:r>
      <w:r>
        <w:rPr>
          <w:sz w:val="21"/>
        </w:rPr>
        <w:t>.</w:t>
      </w:r>
      <w:r>
        <w:rPr>
          <w:sz w:val="21"/>
        </w:rPr>
        <w:t>质量要求</w:t>
      </w:r>
      <w:r>
        <w:rPr>
          <w:sz w:val="21"/>
        </w:rPr>
        <w:t>:</w:t>
      </w:r>
    </w:p>
    <w:p>
      <w:pPr>
        <w:ind w:firstLine="420"/>
        <w:jc w:val="both"/>
      </w:pPr>
      <w:r>
        <w:rPr>
          <w:color w:val="222222"/>
          <w:sz w:val="21"/>
        </w:rPr>
        <w:t>1.1保持较好的外观和质量等级，符合国家食品部门的有关标准，保证无异味、无霉烂变质，肉类保证来源于正规肉屠宰场，供货时须提交屠宰场的验收单及当批次有效的动物检疫合格证复印件（原件备查），新鲜肉确保每日新鲜，为当天正规屠宰场宰杀的新鲜肉；冷冻肉要求肉体冻实而坚硬，无化冻现象，肉质紧密而有弹性，色泽均匀，不粘手，交货时干净、新鲜、无异味；冷冻鱼类要求鱼眼睛清亮，角膜透明，鳞片上覆有冻结的透明黏液层，皮肤天然色泽明显。</w:t>
      </w:r>
    </w:p>
    <w:p>
      <w:pPr>
        <w:ind w:firstLine="420"/>
        <w:jc w:val="both"/>
      </w:pPr>
      <w:r>
        <w:rPr>
          <w:color w:val="222222"/>
          <w:sz w:val="21"/>
        </w:rPr>
        <w:t>1.2所有食材规格符合</w:t>
      </w:r>
      <w:r>
        <w:rPr>
          <w:color w:val="222222"/>
          <w:sz w:val="21"/>
        </w:rPr>
        <w:t>甲方</w:t>
      </w:r>
      <w:r>
        <w:rPr>
          <w:color w:val="222222"/>
          <w:sz w:val="21"/>
        </w:rPr>
        <w:t>提交的日采购计划中明确的具体需求。</w:t>
      </w:r>
    </w:p>
    <w:p>
      <w:pPr>
        <w:ind w:firstLine="420"/>
        <w:jc w:val="both"/>
      </w:pPr>
      <w:r>
        <w:rPr>
          <w:color w:val="222222"/>
          <w:sz w:val="21"/>
        </w:rPr>
        <w:t>1.3冷冻禽类食品解冻后净重量不少于90%，冷冻肉类食品解冻后净重量不少于92%，冷冻水产类食品解冻后净重量不少于82%，解冻时间为4小时以内（室温 20℃）。所有冷冻食品品牌、规格、类型、包装方式、包装净重、含冰量等相关参数。</w:t>
      </w:r>
    </w:p>
    <w:p>
      <w:pPr>
        <w:ind w:firstLine="420"/>
        <w:jc w:val="both"/>
      </w:pPr>
      <w:r>
        <w:rPr>
          <w:color w:val="222222"/>
          <w:sz w:val="21"/>
        </w:rPr>
        <w:t>1.4熟食包括烧鸡、烧鸭、烧鹅等。熟食（特别是鲜制熟食）它的保质期较短，保鲜要求高，配送的熟食需保证产品的品质。</w:t>
      </w:r>
    </w:p>
    <w:p>
      <w:pPr>
        <w:ind w:firstLine="420"/>
        <w:jc w:val="both"/>
      </w:pPr>
      <w:r>
        <w:rPr>
          <w:color w:val="222222"/>
          <w:sz w:val="21"/>
        </w:rPr>
        <w:t>1.5如</w:t>
      </w:r>
      <w:r>
        <w:rPr>
          <w:color w:val="222222"/>
          <w:sz w:val="21"/>
        </w:rPr>
        <w:t>乙方</w:t>
      </w:r>
      <w:r>
        <w:rPr>
          <w:color w:val="222222"/>
          <w:sz w:val="21"/>
        </w:rPr>
        <w:t>不能按时、保质、保量供货，由</w:t>
      </w:r>
      <w:r>
        <w:rPr>
          <w:color w:val="222222"/>
          <w:sz w:val="21"/>
        </w:rPr>
        <w:t>甲方</w:t>
      </w:r>
      <w:r>
        <w:rPr>
          <w:color w:val="222222"/>
          <w:sz w:val="21"/>
        </w:rPr>
        <w:t>自行采购，并承担</w:t>
      </w:r>
      <w:r>
        <w:rPr>
          <w:color w:val="222222"/>
          <w:sz w:val="21"/>
        </w:rPr>
        <w:t>甲方</w:t>
      </w:r>
      <w:r>
        <w:rPr>
          <w:color w:val="222222"/>
          <w:sz w:val="21"/>
        </w:rPr>
        <w:t>由此造成的经济损失和接受违约处罚。</w:t>
      </w:r>
    </w:p>
    <w:p>
      <w:pPr>
        <w:ind w:firstLine="420"/>
        <w:jc w:val="both"/>
      </w:pPr>
      <w:r>
        <w:rPr>
          <w:color w:val="222222"/>
          <w:sz w:val="21"/>
        </w:rPr>
        <w:t>2、冻肉质量的基本检查：在本环节中应保证冷藏食品脱离冷链时间不得超过20分钟，冷冻食品脱离冷链时间不得超过30分钟。对冻肉类检查如下：</w:t>
      </w:r>
    </w:p>
    <w:p>
      <w:pPr>
        <w:ind w:firstLine="420"/>
        <w:jc w:val="both"/>
      </w:pPr>
      <w:r>
        <w:rPr>
          <w:color w:val="222222"/>
          <w:sz w:val="21"/>
        </w:rPr>
        <w:t>2.1冻肉必须符合食品卫生要求及国家有关标准和行业规范。采购生产、经营证明文件齐备，明确来源，并具有检验合格证明。严禁含有毒有害物质、虫及混有异物，严禁有腐烂变质、酸败、霉变情况，禁止采购超过保质期限的冻肉类食品。每次供货时需提供相关合格证明材料。</w:t>
      </w:r>
    </w:p>
    <w:p>
      <w:pPr>
        <w:ind w:firstLine="420"/>
        <w:jc w:val="both"/>
      </w:pPr>
      <w:r>
        <w:rPr>
          <w:color w:val="222222"/>
          <w:sz w:val="21"/>
        </w:rPr>
        <w:t>2.2冻肉类食材包装必须符合国家规范，不得存放在有毒、有害的容器和承载物内。食品包装上必须使用原产地标识，应注明：制造商名称和厂址、食品名称和重（容）量、生产日期和保质期限以及规格和</w:t>
      </w:r>
      <w:r>
        <w:rPr>
          <w:color w:val="222222"/>
          <w:sz w:val="21"/>
        </w:rPr>
        <w:t>SC开头的生产许可证编号</w:t>
      </w:r>
      <w:r>
        <w:rPr>
          <w:color w:val="222222"/>
          <w:sz w:val="21"/>
        </w:rPr>
        <w:t>等。</w:t>
      </w:r>
    </w:p>
    <w:p>
      <w:pPr>
        <w:ind w:firstLine="420"/>
        <w:jc w:val="both"/>
      </w:pPr>
      <w:r>
        <w:rPr>
          <w:color w:val="222222"/>
          <w:sz w:val="21"/>
        </w:rPr>
        <w:t>2.3对不符合采购要求的冻肉类食材由验收人员提出清退，如双方对质量争议的退货前应实行留板备案，可送广州市或</w:t>
      </w:r>
      <w:r>
        <w:rPr>
          <w:color w:val="222222"/>
          <w:sz w:val="21"/>
        </w:rPr>
        <w:t>甲方</w:t>
      </w:r>
      <w:r>
        <w:rPr>
          <w:color w:val="222222"/>
          <w:sz w:val="21"/>
        </w:rPr>
        <w:t>所在地地级市以上质监部门检测，对缺斤短两（或含冰量超标）的应按实际重量扣减。</w:t>
      </w:r>
    </w:p>
    <w:p>
      <w:pPr>
        <w:ind w:firstLine="420"/>
        <w:jc w:val="both"/>
      </w:pPr>
      <w:r>
        <w:rPr>
          <w:color w:val="222222"/>
          <w:sz w:val="21"/>
        </w:rPr>
        <w:t>3</w:t>
      </w:r>
      <w:r>
        <w:rPr>
          <w:color w:val="222222"/>
          <w:sz w:val="21"/>
        </w:rPr>
        <w:t>.</w:t>
      </w:r>
      <w:r>
        <w:rPr>
          <w:color w:val="222222"/>
          <w:sz w:val="21"/>
        </w:rPr>
        <w:t>运输要求：</w:t>
      </w:r>
    </w:p>
    <w:p>
      <w:pPr>
        <w:ind w:firstLine="420"/>
        <w:jc w:val="both"/>
      </w:pPr>
      <w:r>
        <w:rPr>
          <w:color w:val="222222"/>
          <w:sz w:val="21"/>
        </w:rPr>
        <w:t>3.1运输必须采用符合卫生要求的外包装和运载工具，并且要保持清洁和定期消毒。运输车厢的内仓，包括地面、墙面和顶，应为抗腐蚀、防潮，防虫、防鼠的设计，车厢内无不良气味、异味。</w:t>
      </w:r>
    </w:p>
    <w:p>
      <w:pPr>
        <w:ind w:firstLine="420"/>
        <w:jc w:val="both"/>
      </w:pPr>
      <w:r>
        <w:rPr>
          <w:color w:val="222222"/>
          <w:sz w:val="21"/>
        </w:rPr>
        <w:t>3.2冷藏、冷冻食品必须用专用冷藏、冷冻载具运输，应当有必要的保温设备并在整个运输过程中保持安全的冷藏、冷冻温度。特别是对于长途运输的食品，保证食品在运输全过程处于合适的温度范围。</w:t>
      </w:r>
    </w:p>
    <w:p>
      <w:pPr>
        <w:ind w:firstLine="420"/>
        <w:jc w:val="both"/>
      </w:pPr>
      <w:r>
        <w:rPr>
          <w:color w:val="222222"/>
          <w:sz w:val="21"/>
        </w:rPr>
        <w:t>3.3整个运输过程应科学合理，运输车辆应定期清洁，保持性能稳定，符合规定的温度要求，使运输食品处于恒定的环境中。</w:t>
      </w:r>
    </w:p>
    <w:p>
      <w:pPr>
        <w:ind w:firstLine="420"/>
        <w:jc w:val="both"/>
      </w:pPr>
      <w:r>
        <w:rPr>
          <w:color w:val="222222"/>
          <w:sz w:val="21"/>
        </w:rPr>
        <w:t>3.4</w:t>
      </w:r>
      <w:r>
        <w:rPr>
          <w:color w:val="222222"/>
          <w:sz w:val="21"/>
        </w:rPr>
        <w:t>运输路程在</w:t>
      </w:r>
      <w:r>
        <w:rPr>
          <w:color w:val="222222"/>
          <w:sz w:val="21"/>
        </w:rPr>
        <w:t>1小时内的用保温箱</w:t>
      </w:r>
      <w:r>
        <w:rPr>
          <w:color w:val="222222"/>
          <w:sz w:val="21"/>
        </w:rPr>
        <w:t>或专用保温车配送，</w:t>
      </w:r>
      <w:r>
        <w:rPr>
          <w:color w:val="222222"/>
          <w:sz w:val="21"/>
        </w:rPr>
        <w:t>1小时以外的用制冷车配送，保证肉类中心温度控制在-2-7℃的范围之内，保证运输过程冷链不中断。食材到达目的地时外包装箱干爽,无软化现象。</w:t>
      </w:r>
    </w:p>
    <w:p>
      <w:pPr>
        <w:ind w:firstLine="420"/>
        <w:jc w:val="both"/>
      </w:pPr>
      <w:r>
        <w:rPr>
          <w:color w:val="222222"/>
          <w:sz w:val="21"/>
        </w:rPr>
        <w:t>3.5运输车辆应保持清洁；食品堆放科学合理，避免造成食品的交叉污染；如对温度有要求的食品应确定食品的温度，记录送货车辆温度，并记录存档。</w:t>
      </w:r>
    </w:p>
    <w:p>
      <w:pPr>
        <w:ind w:firstLine="420"/>
        <w:jc w:val="both"/>
      </w:pPr>
      <w:r>
        <w:rPr>
          <w:color w:val="222222"/>
          <w:sz w:val="21"/>
        </w:rPr>
        <w:t>（二）蔬菜类：（净菜率不得低于</w:t>
      </w:r>
      <w:r>
        <w:rPr>
          <w:color w:val="222222"/>
          <w:sz w:val="21"/>
        </w:rPr>
        <w:t>95%）</w:t>
      </w:r>
    </w:p>
    <w:p>
      <w:pPr>
        <w:ind w:firstLine="420"/>
        <w:jc w:val="both"/>
      </w:pPr>
      <w:r>
        <w:rPr>
          <w:color w:val="222222"/>
          <w:sz w:val="21"/>
        </w:rPr>
        <w:t>乙方</w:t>
      </w:r>
      <w:r>
        <w:rPr>
          <w:color w:val="222222"/>
          <w:sz w:val="21"/>
        </w:rPr>
        <w:t>每天按</w:t>
      </w:r>
      <w:r>
        <w:rPr>
          <w:color w:val="222222"/>
          <w:sz w:val="21"/>
        </w:rPr>
        <w:t>甲方</w:t>
      </w:r>
      <w:r>
        <w:rPr>
          <w:color w:val="222222"/>
          <w:sz w:val="21"/>
        </w:rPr>
        <w:t>提出的品种要求和计划数量进行供应。属季节问题，若出现品种不能满足</w:t>
      </w:r>
      <w:r>
        <w:rPr>
          <w:color w:val="222222"/>
          <w:sz w:val="21"/>
        </w:rPr>
        <w:t>甲方</w:t>
      </w:r>
      <w:r>
        <w:rPr>
          <w:color w:val="222222"/>
          <w:sz w:val="21"/>
        </w:rPr>
        <w:t>需求的情况，可与</w:t>
      </w:r>
      <w:r>
        <w:rPr>
          <w:color w:val="222222"/>
          <w:sz w:val="21"/>
        </w:rPr>
        <w:t>甲方</w:t>
      </w:r>
      <w:r>
        <w:rPr>
          <w:color w:val="222222"/>
          <w:sz w:val="21"/>
        </w:rPr>
        <w:t>协商调换相应类别的品种（按叶菜、瓜菜等进行分类）。</w:t>
      </w:r>
    </w:p>
    <w:p>
      <w:pPr>
        <w:ind w:firstLine="420"/>
        <w:jc w:val="both"/>
      </w:pPr>
      <w:r>
        <w:rPr>
          <w:color w:val="222222"/>
          <w:sz w:val="21"/>
        </w:rPr>
        <w:t>1</w:t>
      </w:r>
      <w:r>
        <w:rPr>
          <w:color w:val="222222"/>
          <w:sz w:val="21"/>
        </w:rPr>
        <w:t>.</w:t>
      </w:r>
      <w:r>
        <w:rPr>
          <w:color w:val="222222"/>
          <w:sz w:val="21"/>
        </w:rPr>
        <w:t>质量要求：</w:t>
      </w:r>
    </w:p>
    <w:p>
      <w:pPr>
        <w:ind w:firstLine="420"/>
        <w:jc w:val="both"/>
      </w:pPr>
      <w:r>
        <w:rPr>
          <w:color w:val="222222"/>
          <w:sz w:val="21"/>
        </w:rPr>
        <w:t>1.1从蔬菜色泽看，各种蔬菜都应具有本品种固有的颜色，大多数有发亮的光泽，以此显示蔬菜的成熟度及鲜嫩程度；</w:t>
      </w:r>
    </w:p>
    <w:p>
      <w:pPr>
        <w:ind w:firstLine="420"/>
        <w:jc w:val="both"/>
      </w:pPr>
      <w:r>
        <w:rPr>
          <w:color w:val="222222"/>
          <w:sz w:val="21"/>
        </w:rPr>
        <w:t>1.2从蔬菜气味看，多数蔬菜具有清馨、甘辛香、甜酸香等气味，可凭嗅觉识别不同品种的质量，不允许有腐烂变质的亚硝酸盐味和其他异常气味；</w:t>
      </w:r>
    </w:p>
    <w:p>
      <w:pPr>
        <w:ind w:firstLine="420"/>
        <w:jc w:val="both"/>
      </w:pPr>
      <w:r>
        <w:rPr>
          <w:color w:val="222222"/>
          <w:sz w:val="21"/>
        </w:rPr>
        <w:t>1.3从蔬菜滋味看，因品种不同而各异，多数蔬菜滋味甘淡、甜酸、清爽鲜美，少数具有辛酸、苦涩等特殊风味以刺激食欲，如失去本品种原有的滋</w:t>
      </w:r>
      <w:r>
        <w:rPr>
          <w:color w:val="222222"/>
          <w:sz w:val="21"/>
        </w:rPr>
        <w:t>味</w:t>
      </w:r>
      <w:r>
        <w:rPr>
          <w:color w:val="222222"/>
          <w:sz w:val="21"/>
        </w:rPr>
        <w:t>即为异常；</w:t>
      </w:r>
    </w:p>
    <w:p>
      <w:pPr>
        <w:ind w:firstLine="420"/>
        <w:jc w:val="both"/>
      </w:pPr>
      <w:r>
        <w:rPr>
          <w:color w:val="222222"/>
          <w:sz w:val="21"/>
        </w:rPr>
        <w:t>1.4从蔬菜形态看，应尽量避免由于客观因素而造成的各种非正常、不新鲜的蔬菜，例如萎蔫、枯塌、损伤、病变、虫害侵蚀等引起的形态异常等。</w:t>
      </w:r>
    </w:p>
    <w:p>
      <w:pPr>
        <w:ind w:firstLine="420"/>
        <w:jc w:val="both"/>
      </w:pPr>
      <w:r>
        <w:rPr>
          <w:color w:val="222222"/>
          <w:sz w:val="21"/>
        </w:rPr>
        <w:t>1.5叶菜类：大白菜、小白菜、菠菜、甘蓝、荠菜、空心菜、茼蒿、苋菜、芹菜等绿叶菜类。</w:t>
      </w:r>
    </w:p>
    <w:p>
      <w:pPr>
        <w:ind w:firstLine="420"/>
        <w:jc w:val="both"/>
      </w:pPr>
      <w:r>
        <w:rPr>
          <w:color w:val="222222"/>
          <w:sz w:val="21"/>
        </w:rPr>
        <w:t>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ind w:firstLine="420"/>
        <w:jc w:val="both"/>
      </w:pPr>
      <w:r>
        <w:rPr>
          <w:color w:val="222222"/>
          <w:sz w:val="21"/>
        </w:rPr>
        <w:t>1.6茄果类：番茄、茄子、甜椒、辣椒等。</w:t>
      </w:r>
    </w:p>
    <w:p>
      <w:pPr>
        <w:ind w:firstLine="420"/>
        <w:jc w:val="both"/>
      </w:pPr>
      <w:r>
        <w:rPr>
          <w:color w:val="222222"/>
          <w:sz w:val="21"/>
        </w:rPr>
        <w:t>属同一品种规格，果实整洁，成熟度适中，番茄花蒂不明显，无裂果及空洞现象，茄果不能有裂蒂及果皮变硬现象，无腐烂、畸形、异味，无明显机械伤。</w:t>
      </w:r>
    </w:p>
    <w:p>
      <w:pPr>
        <w:ind w:firstLine="420"/>
        <w:jc w:val="both"/>
      </w:pPr>
      <w:r>
        <w:rPr>
          <w:color w:val="222222"/>
          <w:sz w:val="21"/>
        </w:rPr>
        <w:t>1.7瓜果类：黄瓜、冬瓜、丝瓜、苦瓜、南瓜、毛节瓜等。</w:t>
      </w:r>
    </w:p>
    <w:p>
      <w:pPr>
        <w:ind w:firstLine="420"/>
        <w:jc w:val="both"/>
      </w:pPr>
      <w:r>
        <w:rPr>
          <w:color w:val="222222"/>
          <w:sz w:val="21"/>
        </w:rPr>
        <w:t>属同一品种规格，形状、色泽一致，瓜条均匀，无疤点，无断裂，无腐烂、畸形、异味、明显机械伤，不带泥土。</w:t>
      </w:r>
    </w:p>
    <w:p>
      <w:pPr>
        <w:ind w:firstLine="420"/>
        <w:jc w:val="both"/>
      </w:pPr>
      <w:r>
        <w:rPr>
          <w:color w:val="222222"/>
          <w:sz w:val="21"/>
        </w:rPr>
        <w:t>1.8根菜类：萝卜、胡萝卜等。</w:t>
      </w:r>
    </w:p>
    <w:p>
      <w:pPr>
        <w:ind w:firstLine="420"/>
        <w:jc w:val="both"/>
      </w:pPr>
      <w:r>
        <w:rPr>
          <w:color w:val="222222"/>
          <w:sz w:val="21"/>
        </w:rPr>
        <w:t>属同一品种规格，皮细光滑，大小均匀，肉质脆嫩致密新鲜，无腐烂、畸形、裂痕、糠心、异味，不带泥沙，不带茎叶和须根。</w:t>
      </w:r>
    </w:p>
    <w:p>
      <w:pPr>
        <w:ind w:firstLine="420"/>
        <w:jc w:val="both"/>
      </w:pPr>
      <w:r>
        <w:rPr>
          <w:color w:val="222222"/>
          <w:sz w:val="21"/>
        </w:rPr>
        <w:t>1.9薯芋类：马铃薯、芋、姜等。</w:t>
      </w:r>
    </w:p>
    <w:p>
      <w:pPr>
        <w:ind w:firstLine="420"/>
        <w:jc w:val="both"/>
      </w:pPr>
      <w:r>
        <w:rPr>
          <w:color w:val="222222"/>
          <w:sz w:val="21"/>
        </w:rPr>
        <w:t>属同一品种规格，色泽一致，不带泥沙，不带须根、茎叶，不干瘪，无腐烂、畸形、异味、明显机械伤、病虫害斑，马铃薯无发芽，皮不变绿。</w:t>
      </w:r>
    </w:p>
    <w:p>
      <w:pPr>
        <w:ind w:firstLine="420"/>
        <w:jc w:val="both"/>
      </w:pPr>
      <w:r>
        <w:rPr>
          <w:color w:val="222222"/>
          <w:sz w:val="21"/>
        </w:rPr>
        <w:t>1.10葱蒜类：葱、蒜、韭菜、洋葱等。</w:t>
      </w:r>
    </w:p>
    <w:p>
      <w:pPr>
        <w:ind w:firstLine="420"/>
        <w:jc w:val="both"/>
      </w:pPr>
      <w:r>
        <w:rPr>
          <w:color w:val="222222"/>
          <w:sz w:val="21"/>
        </w:rPr>
        <w:t>属同一品种规格，允许葱、青蒜类保留干净须根，葱、蒜、韭菜不带老叶，蒜头、洋葱去根去枯叶，可食部分新鲜幼嫩，无腐烂、畸形、异味。</w:t>
      </w:r>
    </w:p>
    <w:p>
      <w:pPr>
        <w:ind w:firstLine="420"/>
        <w:jc w:val="both"/>
      </w:pPr>
      <w:r>
        <w:rPr>
          <w:color w:val="222222"/>
          <w:sz w:val="21"/>
        </w:rPr>
        <w:t>1.11豆类：扁豆、豌豆、毛豆等。</w:t>
      </w:r>
    </w:p>
    <w:p>
      <w:pPr>
        <w:ind w:firstLine="420"/>
        <w:jc w:val="both"/>
      </w:pPr>
      <w:r>
        <w:rPr>
          <w:color w:val="222222"/>
          <w:sz w:val="21"/>
        </w:rPr>
        <w:t>属同一品种规格，形态完整，成熟度适中，无腐烂、畸形、异味，豆荚类新鲜、幼嫩、均匀，豆仁类籽粒饱满，较均匀，无发芽，不带泥土杂质。</w:t>
      </w:r>
    </w:p>
    <w:p>
      <w:pPr>
        <w:ind w:firstLine="420"/>
        <w:jc w:val="both"/>
      </w:pPr>
      <w:r>
        <w:rPr>
          <w:color w:val="222222"/>
          <w:sz w:val="21"/>
        </w:rPr>
        <w:t>1.12水生菜类：藕、慈菇、茭白、马蹄、菱等。</w:t>
      </w:r>
    </w:p>
    <w:p>
      <w:pPr>
        <w:ind w:firstLine="420"/>
        <w:jc w:val="both"/>
      </w:pPr>
      <w:r>
        <w:rPr>
          <w:color w:val="222222"/>
          <w:sz w:val="21"/>
        </w:rPr>
        <w:t>属同一品种规格，肉质嫩，成熟度适中，无腐烂、畸形、异味，无明显机械伤，不带泥土和杂质，不干瘪，茭白不黑心。</w:t>
      </w:r>
    </w:p>
    <w:p>
      <w:pPr>
        <w:ind w:firstLine="420"/>
        <w:jc w:val="both"/>
      </w:pPr>
      <w:r>
        <w:rPr>
          <w:color w:val="222222"/>
          <w:sz w:val="21"/>
        </w:rPr>
        <w:t>1.13食用菌类：蘑菇、草菇、香菇、木耳等。</w:t>
      </w:r>
    </w:p>
    <w:p>
      <w:pPr>
        <w:ind w:firstLine="420"/>
        <w:jc w:val="both"/>
      </w:pPr>
      <w:r>
        <w:rPr>
          <w:color w:val="222222"/>
          <w:sz w:val="21"/>
        </w:rPr>
        <w:t>属同一品种规格，蘑菇、草菇菌盖圆整略展开，柄粗壮，菌膜紧，菇柄切削平整，不浸泡水（蘑菇允许浸盐水保鲜），新鲜，无杂质，无畸形菇，无腐烂、异味。</w:t>
      </w:r>
    </w:p>
    <w:p>
      <w:pPr>
        <w:ind w:firstLine="420"/>
        <w:jc w:val="both"/>
      </w:pPr>
      <w:r>
        <w:rPr>
          <w:color w:val="222222"/>
          <w:sz w:val="21"/>
        </w:rPr>
        <w:t>1.14芽苗类：绿豆芽、黄豆芽、香樁苗等。</w:t>
      </w:r>
    </w:p>
    <w:p>
      <w:pPr>
        <w:ind w:firstLine="420"/>
        <w:jc w:val="both"/>
      </w:pPr>
      <w:r>
        <w:rPr>
          <w:color w:val="222222"/>
          <w:sz w:val="21"/>
        </w:rPr>
        <w:t>芽苗幼嫩，不带豆壳杂质，新鲜，不浸水，无腐烂、异味。</w:t>
      </w:r>
    </w:p>
    <w:p>
      <w:pPr>
        <w:ind w:firstLine="420"/>
        <w:jc w:val="both"/>
      </w:pPr>
      <w:r>
        <w:rPr>
          <w:color w:val="222222"/>
          <w:sz w:val="21"/>
        </w:rPr>
        <w:t>2、配送和管理要求：</w:t>
      </w:r>
    </w:p>
    <w:p>
      <w:pPr>
        <w:ind w:firstLine="420"/>
        <w:jc w:val="both"/>
      </w:pPr>
      <w:r>
        <w:rPr>
          <w:color w:val="222222"/>
          <w:sz w:val="21"/>
        </w:rPr>
        <w:t>2.1蔬菜配送的品种分主菜和配菜，配菜品种按</w:t>
      </w:r>
      <w:r>
        <w:rPr>
          <w:color w:val="222222"/>
          <w:sz w:val="21"/>
        </w:rPr>
        <w:t>甲方</w:t>
      </w:r>
      <w:r>
        <w:rPr>
          <w:color w:val="222222"/>
          <w:sz w:val="21"/>
        </w:rPr>
        <w:t>计划和要求的品种配送；</w:t>
      </w:r>
    </w:p>
    <w:p>
      <w:pPr>
        <w:ind w:firstLine="420"/>
        <w:jc w:val="both"/>
      </w:pPr>
      <w:r>
        <w:rPr>
          <w:color w:val="222222"/>
          <w:sz w:val="21"/>
        </w:rPr>
        <w:t>2.2主菜品种由供求双方根据季节安排，但要确保每周有3个品种以上，每个品种不少于2次，6-9月叶菜类不少于30</w:t>
      </w:r>
      <w:r>
        <w:rPr>
          <w:color w:val="222222"/>
          <w:sz w:val="21"/>
        </w:rPr>
        <w:t>%</w:t>
      </w:r>
      <w:r>
        <w:rPr>
          <w:color w:val="222222"/>
          <w:sz w:val="21"/>
        </w:rPr>
        <w:t>，其余时间叶菜类不少于</w:t>
      </w:r>
      <w:r>
        <w:rPr>
          <w:color w:val="222222"/>
          <w:sz w:val="21"/>
        </w:rPr>
        <w:t>50</w:t>
      </w:r>
      <w:r>
        <w:rPr>
          <w:color w:val="222222"/>
          <w:sz w:val="21"/>
        </w:rPr>
        <w:t>%</w:t>
      </w:r>
      <w:r>
        <w:rPr>
          <w:color w:val="222222"/>
          <w:sz w:val="21"/>
        </w:rPr>
        <w:t>。</w:t>
      </w:r>
    </w:p>
    <w:p>
      <w:pPr>
        <w:ind w:firstLine="420"/>
        <w:jc w:val="both"/>
      </w:pPr>
      <w:r>
        <w:rPr>
          <w:color w:val="222222"/>
          <w:sz w:val="21"/>
        </w:rPr>
        <w:t>2.3蔬菜包装与标志要求：包装。容器(框、箱、袋)要求清洁、干燥、牢固、透气，无污染、无异味、无霉变现象。标志。每件包装必须按《农产品包装和标识管理办法》贴标签，并标明产地、品种、净含量、生产单位及地址和采收日期。</w:t>
      </w:r>
    </w:p>
    <w:p>
      <w:pPr>
        <w:ind w:firstLine="420"/>
        <w:jc w:val="both"/>
      </w:pPr>
      <w:r>
        <w:rPr>
          <w:color w:val="222222"/>
          <w:sz w:val="21"/>
        </w:rPr>
        <w:t>2.4食品供应链要求：</w:t>
      </w:r>
      <w:r>
        <w:rPr>
          <w:color w:val="222222"/>
          <w:sz w:val="21"/>
        </w:rPr>
        <w:t>所有</w:t>
      </w:r>
      <w:r>
        <w:rPr>
          <w:color w:val="222222"/>
          <w:sz w:val="21"/>
        </w:rPr>
        <w:t>食品来源必须清晰。蔬菜来源须为广东地区范围内的自有基地、商品菜基地或蔬菜专业流通市场，严禁收购散户农民的蔬菜供应</w:t>
      </w:r>
      <w:r>
        <w:rPr>
          <w:color w:val="222222"/>
          <w:sz w:val="21"/>
        </w:rPr>
        <w:t>，</w:t>
      </w:r>
      <w:r>
        <w:rPr>
          <w:color w:val="222222"/>
          <w:sz w:val="21"/>
        </w:rPr>
        <w:t>每天早上八点之前必须送到民警餐厅（含招待所）。</w:t>
      </w:r>
    </w:p>
    <w:p>
      <w:pPr>
        <w:ind w:firstLine="420"/>
        <w:jc w:val="both"/>
      </w:pPr>
      <w:r>
        <w:rPr>
          <w:color w:val="222222"/>
          <w:sz w:val="21"/>
        </w:rPr>
        <w:t>3</w:t>
      </w:r>
      <w:r>
        <w:rPr>
          <w:color w:val="222222"/>
          <w:sz w:val="21"/>
        </w:rPr>
        <w:t>.</w:t>
      </w:r>
      <w:r>
        <w:rPr>
          <w:color w:val="222222"/>
          <w:sz w:val="21"/>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ind w:firstLine="420"/>
        <w:jc w:val="both"/>
      </w:pPr>
      <w:r>
        <w:rPr>
          <w:color w:val="222222"/>
          <w:sz w:val="21"/>
        </w:rPr>
        <w:t>4</w:t>
      </w:r>
      <w:r>
        <w:rPr>
          <w:color w:val="222222"/>
          <w:sz w:val="21"/>
        </w:rPr>
        <w:t>.</w:t>
      </w:r>
      <w:r>
        <w:rPr>
          <w:color w:val="222222"/>
          <w:sz w:val="21"/>
        </w:rPr>
        <w:t>管理要求：菜地设有固定的农资存放场所，配有专用的农药喷洒用具及其他农用器具，施用农药有详尽记录，规定施药间隔期后采收；蔬菜采收后需用清洁、无污染的运输工具运抵加工地点。</w:t>
      </w:r>
    </w:p>
    <w:p>
      <w:pPr>
        <w:ind w:firstLine="420"/>
        <w:jc w:val="both"/>
      </w:pPr>
      <w:r>
        <w:rPr>
          <w:color w:val="222222"/>
          <w:sz w:val="21"/>
        </w:rPr>
        <w:t>5</w:t>
      </w:r>
      <w:r>
        <w:rPr>
          <w:color w:val="222222"/>
          <w:sz w:val="21"/>
        </w:rPr>
        <w:t>.</w:t>
      </w:r>
      <w:r>
        <w:rPr>
          <w:color w:val="222222"/>
          <w:sz w:val="21"/>
        </w:rPr>
        <w:t>环境要求：菜地周围需设有隔离网、隔离带或其他有效的隔离措施，确保不受临近农田施肥和用药污染；菜地周围无养殖场、化工厂、垃圾处理场、医院以及污水排放管道等污染源。</w:t>
      </w:r>
    </w:p>
    <w:p>
      <w:pPr>
        <w:ind w:firstLine="420"/>
        <w:jc w:val="both"/>
      </w:pPr>
      <w:r>
        <w:rPr>
          <w:color w:val="222222"/>
          <w:sz w:val="21"/>
        </w:rPr>
        <w:t>6</w:t>
      </w:r>
      <w:r>
        <w:rPr>
          <w:color w:val="222222"/>
          <w:sz w:val="21"/>
        </w:rPr>
        <w:t>.</w:t>
      </w:r>
      <w:r>
        <w:rPr>
          <w:color w:val="222222"/>
          <w:sz w:val="21"/>
        </w:rPr>
        <w:t>水源要求：菜地应有清洁无污染的灌溉水源；灌溉水井设有防护设施。灌溉水源需经检测验证符合规定要求，并一年内在蔬菜种植过程对水源进行</w:t>
      </w:r>
      <w:r>
        <w:rPr>
          <w:color w:val="222222"/>
          <w:sz w:val="21"/>
        </w:rPr>
        <w:t>2次监测。</w:t>
      </w:r>
    </w:p>
    <w:p>
      <w:pPr>
        <w:ind w:firstLine="420"/>
        <w:jc w:val="both"/>
      </w:pPr>
      <w:r>
        <w:rPr>
          <w:color w:val="222222"/>
          <w:sz w:val="21"/>
        </w:rPr>
        <w:t>7</w:t>
      </w:r>
      <w:r>
        <w:rPr>
          <w:color w:val="222222"/>
          <w:sz w:val="21"/>
        </w:rPr>
        <w:t>.</w:t>
      </w:r>
      <w:r>
        <w:rPr>
          <w:color w:val="222222"/>
          <w:sz w:val="21"/>
        </w:rPr>
        <w:t>农药要求：种植使用的农药必须符合食品安全管理部门的规定，严禁使用违禁药物；农药的采购、保管、发放、使用必须建立记录；蔬菜生产使用农药的间隔期必须符合行业规定，并且采收前</w:t>
      </w:r>
      <w:r>
        <w:rPr>
          <w:color w:val="222222"/>
          <w:sz w:val="21"/>
        </w:rPr>
        <w:t>乙方</w:t>
      </w:r>
      <w:r>
        <w:rPr>
          <w:color w:val="222222"/>
          <w:sz w:val="21"/>
        </w:rPr>
        <w:t>应从种植地取样检测农残项目，合格后方可供应。</w:t>
      </w:r>
    </w:p>
    <w:p>
      <w:pPr>
        <w:ind w:firstLine="420"/>
        <w:jc w:val="both"/>
      </w:pPr>
      <w:r>
        <w:rPr>
          <w:color w:val="222222"/>
          <w:sz w:val="21"/>
        </w:rPr>
        <w:t>8.蔬菜卫生质量要求</w:t>
      </w:r>
      <w:r>
        <w:rPr>
          <w:color w:val="222222"/>
          <w:sz w:val="21"/>
        </w:rPr>
        <w:t>：</w:t>
      </w:r>
    </w:p>
    <w:p>
      <w:pPr>
        <w:ind w:firstLine="420"/>
        <w:jc w:val="both"/>
      </w:pPr>
      <w:r>
        <w:rPr>
          <w:color w:val="222222"/>
          <w:sz w:val="21"/>
        </w:rPr>
        <w:t>卫生质量指标，应符合我国无公害蔬菜上的卫生指标规定。</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3285"/>
        <w:gridCol w:w="2745"/>
        <w:gridCol w:w="1320"/>
      </w:tblGrid>
      <w:tr>
        <w:tc>
          <w:tcPr>
            <w:tcW w:type="dxa" w:w="3285"/>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2745"/>
            <w:tcBorders>
              <w:top w:val="single" w:color="000000" w:sz="4"/>
              <w:left w:val="single" w:color="000000" w:sz="4"/>
              <w:bottom w:val="single" w:color="000000" w:sz="4"/>
              <w:right w:val="single" w:color="000000" w:sz="4"/>
            </w:tcBorders>
            <w:vAlign w:val="top"/>
          </w:tcPr>
          <w:p>
            <w:pPr>
              <w:jc w:val="center"/>
            </w:pPr>
            <w:r>
              <w:rPr>
                <w:sz w:val="21"/>
              </w:rPr>
              <w:t>指标（</w:t>
            </w:r>
            <w:r>
              <w:rPr>
                <w:sz w:val="21"/>
              </w:rPr>
              <w:t>mg/kg）</w:t>
            </w:r>
          </w:p>
        </w:tc>
        <w:tc>
          <w:tcPr>
            <w:tcW w:type="dxa" w:w="1320"/>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甲胺磷</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不得检出</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甲拌磷</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不得检出</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氧化乐果</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不得检出</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甲基对硫磷</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不得检出</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呋喃丹</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不得检出</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百菌清</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多菌灵</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汞（以</w:t>
            </w:r>
            <w:r>
              <w:rPr>
                <w:sz w:val="21"/>
              </w:rPr>
              <w:t>Hg计）</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≤0.01</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铅（以</w:t>
            </w:r>
            <w:r>
              <w:rPr>
                <w:sz w:val="21"/>
              </w:rPr>
              <w:t>Pb计）</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砷（以</w:t>
            </w:r>
            <w:r>
              <w:rPr>
                <w:sz w:val="21"/>
              </w:rPr>
              <w:t>As计）</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氟（以</w:t>
            </w:r>
            <w:r>
              <w:rPr>
                <w:sz w:val="21"/>
              </w:rPr>
              <w:t>F计）</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硝酸盐（以</w:t>
            </w:r>
            <w:r>
              <w:rPr>
                <w:sz w:val="21"/>
              </w:rPr>
              <w:t>NaNO3计）</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瓜果类</w:t>
            </w:r>
            <w:r>
              <w:rPr>
                <w:sz w:val="21"/>
              </w:rPr>
              <w:t>≤600；叶菜根茎类≤1200</w:t>
            </w:r>
          </w:p>
        </w:tc>
        <w:tc>
          <w:tcPr>
            <w:tcW w:type="dxa" w:w="1320"/>
            <w:tcBorders>
              <w:top w:val="none" w:color="000000" w:sz="4"/>
              <w:left w:val="single" w:color="000000" w:sz="4"/>
              <w:bottom w:val="single" w:color="000000" w:sz="4"/>
              <w:right w:val="single" w:color="000000" w:sz="4"/>
            </w:tcBorders>
            <w:vAlign w:val="top"/>
          </w:tcPr>
          <w:p>
            <w:pPr>
              <w:jc w:val="both"/>
            </w:pPr>
          </w:p>
        </w:tc>
      </w:tr>
      <w:tr>
        <w:tc>
          <w:tcPr>
            <w:tcW w:type="dxa" w:w="3285"/>
            <w:tcBorders>
              <w:top w:val="none" w:color="000000" w:sz="4"/>
              <w:left w:val="single" w:color="000000" w:sz="4"/>
              <w:bottom w:val="single" w:color="000000" w:sz="4"/>
              <w:right w:val="single" w:color="000000" w:sz="4"/>
            </w:tcBorders>
            <w:vAlign w:val="top"/>
          </w:tcPr>
          <w:p>
            <w:pPr>
              <w:jc w:val="center"/>
            </w:pPr>
            <w:r>
              <w:rPr>
                <w:sz w:val="21"/>
              </w:rPr>
              <w:t>亚硝酸盐（以</w:t>
            </w:r>
            <w:r>
              <w:rPr>
                <w:sz w:val="21"/>
              </w:rPr>
              <w:t>NaNO2计）</w:t>
            </w:r>
          </w:p>
        </w:tc>
        <w:tc>
          <w:tcPr>
            <w:tcW w:type="dxa" w:w="274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20"/>
            <w:tcBorders>
              <w:top w:val="none" w:color="000000" w:sz="4"/>
              <w:left w:val="single" w:color="000000" w:sz="4"/>
              <w:bottom w:val="single" w:color="000000" w:sz="4"/>
              <w:right w:val="single" w:color="000000" w:sz="4"/>
            </w:tcBorders>
            <w:vAlign w:val="top"/>
          </w:tcPr>
          <w:p>
            <w:pPr>
              <w:jc w:val="both"/>
            </w:pPr>
          </w:p>
        </w:tc>
      </w:tr>
    </w:tbl>
    <w:p>
      <w:pPr>
        <w:jc w:val="both"/>
      </w:pPr>
    </w:p>
    <w:p>
      <w:pPr>
        <w:ind w:firstLine="420"/>
        <w:jc w:val="both"/>
      </w:pPr>
      <w:r>
        <w:rPr>
          <w:color w:val="222222"/>
          <w:sz w:val="21"/>
        </w:rPr>
        <w:t>9</w:t>
      </w:r>
      <w:r>
        <w:rPr>
          <w:color w:val="222222"/>
          <w:sz w:val="21"/>
        </w:rPr>
        <w:t>.</w:t>
      </w:r>
      <w:r>
        <w:rPr>
          <w:color w:val="222222"/>
          <w:sz w:val="21"/>
        </w:rPr>
        <w:t>蔬菜验收时发现问题的处理方法：</w:t>
      </w:r>
    </w:p>
    <w:p>
      <w:pPr>
        <w:ind w:firstLine="420"/>
        <w:jc w:val="both"/>
      </w:pPr>
      <w:r>
        <w:rPr>
          <w:color w:val="222222"/>
          <w:sz w:val="21"/>
        </w:rPr>
        <w:t>9.1按后附产品质量描述对货物质量进行抽查。</w:t>
      </w:r>
    </w:p>
    <w:p>
      <w:pPr>
        <w:ind w:firstLine="420"/>
        <w:jc w:val="both"/>
      </w:pPr>
      <w:r>
        <w:rPr>
          <w:color w:val="222222"/>
          <w:sz w:val="21"/>
        </w:rPr>
        <w:t>9.2抽查发现食品安全质量问题的处理：对危及人身安全的食品质量问题采取零容忍措施，一经发现，当日所送同批次产品全部退货，如水产品中发现农药残留超标，发现腐败变质蔬菜等。</w:t>
      </w:r>
    </w:p>
    <w:p>
      <w:pPr>
        <w:ind w:firstLine="420"/>
        <w:jc w:val="both"/>
      </w:pPr>
      <w:r>
        <w:rPr>
          <w:color w:val="222222"/>
          <w:sz w:val="21"/>
        </w:rPr>
        <w:t>9.3若抽查未发现问题，而在加工食用前发现部分产品质量问题，应立即通知单位伙食物资验收小组及</w:t>
      </w:r>
      <w:r>
        <w:rPr>
          <w:color w:val="222222"/>
          <w:sz w:val="21"/>
        </w:rPr>
        <w:t>乙方</w:t>
      </w:r>
      <w:r>
        <w:rPr>
          <w:color w:val="222222"/>
          <w:sz w:val="21"/>
        </w:rPr>
        <w:t>，将问题产品退货处理。</w:t>
      </w:r>
    </w:p>
    <w:p>
      <w:pPr>
        <w:ind w:firstLine="420"/>
        <w:jc w:val="both"/>
      </w:pPr>
      <w:r>
        <w:rPr>
          <w:color w:val="222222"/>
          <w:sz w:val="21"/>
        </w:rPr>
        <w:t>10</w:t>
      </w:r>
      <w:r>
        <w:rPr>
          <w:color w:val="222222"/>
          <w:sz w:val="21"/>
        </w:rPr>
        <w:t>.</w:t>
      </w:r>
      <w:r>
        <w:rPr>
          <w:color w:val="222222"/>
          <w:sz w:val="21"/>
        </w:rPr>
        <w:t>农药使用标准：</w:t>
      </w:r>
    </w:p>
    <w:p>
      <w:pPr>
        <w:ind w:firstLine="420"/>
        <w:jc w:val="both"/>
      </w:pPr>
      <w:r>
        <w:rPr>
          <w:color w:val="222222"/>
          <w:sz w:val="21"/>
        </w:rPr>
        <w:t>农药按其毒性来分有高毒、中毒、低毒之别，无公害果品对农药要求是优先采用低毒农药，</w:t>
      </w:r>
      <w:r>
        <w:rPr>
          <w:color w:val="222222"/>
          <w:sz w:val="21"/>
        </w:rPr>
        <w:t>有限度的使用中毒农药，严禁使用高毒、高残留农药和</w:t>
      </w:r>
      <w:r>
        <w:rPr>
          <w:color w:val="222222"/>
          <w:sz w:val="21"/>
        </w:rPr>
        <w:t>“三致”（致癌、致畸、致突变）农药。</w:t>
      </w:r>
    </w:p>
    <w:p>
      <w:pPr>
        <w:ind w:firstLine="420"/>
        <w:jc w:val="both"/>
      </w:pPr>
      <w:r>
        <w:rPr>
          <w:color w:val="222222"/>
          <w:sz w:val="21"/>
        </w:rPr>
        <w:t>10.1禁止使用的农药品种：有机胂类杀菌剂福美胂（高残留），有机氯类杀虫剂六六六、滴滴涕（高残留）、三氯杀螨醇（含滴滴涕），有机磷类杀虫剂甲拌磷、乙拌磷、久效磷、对硫磷、甲基对硫 磺、甲胺磷、甲基异硫磷、氧化乐果（均属高毒），氨基甲酸酯类杀虫剂克百威、涕灭威、灭多 威（均属高毒）。二甲基甲脒类杀虫杀螨剂杀虫脒（慢性中毒、致癌）等。</w:t>
      </w:r>
    </w:p>
    <w:p>
      <w:pPr>
        <w:ind w:firstLine="420"/>
        <w:jc w:val="both"/>
      </w:pPr>
      <w:r>
        <w:rPr>
          <w:color w:val="222222"/>
          <w:sz w:val="21"/>
        </w:rPr>
        <w:t>10.2提倡使用的农药品种：微生物源杀虫、杀菌剂如 Bt、白僵菌、阿维菌素、中生菌素、多氧霉素、农抗120等；植物源杀虫剂如烟碱、苦参碱、印楝素、除虫菊、鱼藤、茴蒿素、松脂合剂等；昆虫生长调节剂如灭幼脲、除虫脲、卡死克、扑虱灵等；矿物源杀虫、杀菌剂如机油乳油、柴油 乳油、腐必清以及由硫酸铜和硫黄分别配制的多种药剂等；低毒、低残留化学农药如吡虫啉、马 拉硫磷、辛硫磷、敌百虫、双甲脒、尼索朗、克螨特、螨死净、菌毒清、代森锰锌类（喷克、大 生 M－45）、新星、甲基托布津、多菌灵、扑海因、粉锈宁、甲霜灵、百菌清等。</w:t>
      </w:r>
    </w:p>
    <w:p>
      <w:pPr>
        <w:ind w:firstLine="420"/>
        <w:jc w:val="both"/>
      </w:pPr>
      <w:r>
        <w:rPr>
          <w:color w:val="222222"/>
          <w:sz w:val="21"/>
        </w:rPr>
        <w:t>10.3有限制地使用中等毒性农药：主要品种有乐斯本、抗蚜威、敌敌畏、杀螟硫磷、灭扫利、功夫、歼灭、杀灭菊酯、氰戊菊酯、高效氯氰菊酯等。为了减少农药的污染，除了注意选用农药品种以外，还要严格控制农药的施用量，应在有效浓度范围内，尽量用低浓度进行防治，喷药次数要根据药剂的残效期和病虫害发生程度来定。不要随意提高用药剂量、浓度和次数，应从改进施药方法和喷药质量方面来提高药剂的防治效果。 另外，在采果前20天应停止喷洒农药，以保证果品中无残留，或虽有少量残留但不超标。</w:t>
      </w:r>
    </w:p>
    <w:p>
      <w:pPr>
        <w:ind w:firstLine="420"/>
        <w:jc w:val="both"/>
      </w:pPr>
      <w:r>
        <w:rPr>
          <w:color w:val="222222"/>
          <w:sz w:val="21"/>
        </w:rPr>
        <w:t>（三）干货类</w:t>
      </w:r>
    </w:p>
    <w:p>
      <w:pPr>
        <w:ind w:firstLine="420"/>
        <w:jc w:val="both"/>
      </w:pPr>
      <w:r>
        <w:rPr>
          <w:color w:val="222222"/>
          <w:sz w:val="21"/>
        </w:rPr>
        <w:t>1</w:t>
      </w:r>
      <w:r>
        <w:rPr>
          <w:color w:val="222222"/>
          <w:sz w:val="21"/>
        </w:rPr>
        <w:t>.</w:t>
      </w:r>
      <w:r>
        <w:rPr>
          <w:color w:val="222222"/>
          <w:sz w:val="21"/>
        </w:rPr>
        <w:t>质量要求：</w:t>
      </w:r>
    </w:p>
    <w:p>
      <w:pPr>
        <w:ind w:firstLine="420"/>
        <w:jc w:val="both"/>
      </w:pPr>
      <w:r>
        <w:rPr>
          <w:color w:val="222222"/>
          <w:sz w:val="21"/>
        </w:rPr>
        <w:t>1.1</w:t>
      </w:r>
      <w:r>
        <w:rPr>
          <w:color w:val="222222"/>
          <w:sz w:val="21"/>
        </w:rPr>
        <w:t>乙方</w:t>
      </w:r>
      <w:r>
        <w:rPr>
          <w:color w:val="222222"/>
          <w:sz w:val="21"/>
        </w:rPr>
        <w:t>所提供食材质量必须要符合行业标准要求，不得有掺假、变质、变味、过期等现象出现，严禁伪劣、假冒、无证不合格物品进入仓库。</w:t>
      </w:r>
    </w:p>
    <w:p>
      <w:pPr>
        <w:ind w:firstLine="420"/>
        <w:jc w:val="both"/>
      </w:pPr>
      <w:r>
        <w:rPr>
          <w:color w:val="222222"/>
          <w:sz w:val="21"/>
        </w:rPr>
        <w:t>1.2</w:t>
      </w:r>
      <w:r>
        <w:rPr>
          <w:color w:val="222222"/>
          <w:sz w:val="21"/>
        </w:rPr>
        <w:t>乙方</w:t>
      </w:r>
      <w:r>
        <w:rPr>
          <w:color w:val="222222"/>
          <w:sz w:val="21"/>
        </w:rPr>
        <w:t>所提供食材必须价格合理，应按照投标报价供给，否则</w:t>
      </w:r>
      <w:r>
        <w:rPr>
          <w:color w:val="222222"/>
          <w:sz w:val="21"/>
        </w:rPr>
        <w:t>甲方</w:t>
      </w:r>
      <w:r>
        <w:rPr>
          <w:color w:val="222222"/>
          <w:sz w:val="21"/>
        </w:rPr>
        <w:t>有权拒收。</w:t>
      </w:r>
    </w:p>
    <w:p>
      <w:pPr>
        <w:ind w:firstLine="420"/>
        <w:jc w:val="both"/>
      </w:pPr>
      <w:r>
        <w:rPr>
          <w:color w:val="222222"/>
          <w:sz w:val="21"/>
        </w:rPr>
        <w:t>1.3</w:t>
      </w:r>
      <w:r>
        <w:rPr>
          <w:color w:val="222222"/>
          <w:sz w:val="21"/>
        </w:rPr>
        <w:t>乙方</w:t>
      </w:r>
      <w:r>
        <w:rPr>
          <w:color w:val="222222"/>
          <w:sz w:val="21"/>
        </w:rPr>
        <w:t>在配送过程中，如果发生出现质量问题或造成食物中毒</w:t>
      </w:r>
      <w:r>
        <w:rPr>
          <w:color w:val="222222"/>
          <w:sz w:val="21"/>
        </w:rPr>
        <w:t>,如变质等情况，经查实后确属</w:t>
      </w:r>
      <w:r>
        <w:rPr>
          <w:color w:val="222222"/>
          <w:sz w:val="21"/>
        </w:rPr>
        <w:t>乙方</w:t>
      </w:r>
      <w:r>
        <w:rPr>
          <w:color w:val="222222"/>
          <w:sz w:val="21"/>
        </w:rPr>
        <w:t>责任，</w:t>
      </w:r>
      <w:r>
        <w:rPr>
          <w:color w:val="222222"/>
          <w:sz w:val="21"/>
        </w:rPr>
        <w:t>乙方</w:t>
      </w:r>
      <w:r>
        <w:rPr>
          <w:color w:val="222222"/>
          <w:sz w:val="21"/>
        </w:rPr>
        <w:t>应承担全部责任，主要包括食物中毒人员医疗费、误工费、事故处理费等，直至追究刑事责任。</w:t>
      </w:r>
    </w:p>
    <w:p>
      <w:pPr>
        <w:ind w:firstLine="420"/>
        <w:jc w:val="both"/>
      </w:pPr>
      <w:r>
        <w:rPr>
          <w:color w:val="222222"/>
          <w:sz w:val="21"/>
        </w:rPr>
        <w:t>1.4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w:t>
      </w:r>
      <w:r>
        <w:rPr>
          <w:color w:val="222222"/>
          <w:sz w:val="21"/>
        </w:rPr>
        <w:t>甲方</w:t>
      </w:r>
      <w:r>
        <w:rPr>
          <w:color w:val="222222"/>
          <w:sz w:val="21"/>
        </w:rPr>
        <w:t>可根据实际情况对需要的干货制品进行品质抽检，对质量未达到国家标准的干货制品</w:t>
      </w:r>
      <w:r>
        <w:rPr>
          <w:color w:val="222222"/>
          <w:sz w:val="21"/>
        </w:rPr>
        <w:t>甲方</w:t>
      </w:r>
      <w:r>
        <w:rPr>
          <w:color w:val="222222"/>
          <w:sz w:val="21"/>
        </w:rPr>
        <w:t>有权拒绝接受。</w:t>
      </w:r>
    </w:p>
    <w:p>
      <w:pPr>
        <w:ind w:firstLine="420"/>
        <w:jc w:val="both"/>
      </w:pPr>
      <w:r>
        <w:rPr>
          <w:color w:val="222222"/>
          <w:sz w:val="21"/>
        </w:rPr>
        <w:t>2</w:t>
      </w:r>
      <w:r>
        <w:rPr>
          <w:color w:val="222222"/>
          <w:sz w:val="21"/>
        </w:rPr>
        <w:t>.</w:t>
      </w:r>
      <w:r>
        <w:rPr>
          <w:color w:val="222222"/>
          <w:sz w:val="21"/>
        </w:rPr>
        <w:t>主要干货制品的质量标准：</w:t>
      </w:r>
    </w:p>
    <w:p>
      <w:pPr>
        <w:ind w:firstLine="420"/>
        <w:jc w:val="both"/>
      </w:pPr>
      <w:r>
        <w:rPr>
          <w:color w:val="222222"/>
          <w:sz w:val="21"/>
        </w:rPr>
        <w:t>2.1肉皮：作为干肉皮，无论什么部位，体表洁净无毛，白亮无残余肥膘，无虫蛀，干爽，敲击时响声清脆，质量均匀为好，反之则为次之，如已发霉，并有哈喇味，即已变质。</w:t>
      </w:r>
    </w:p>
    <w:p>
      <w:pPr>
        <w:ind w:firstLine="420"/>
        <w:jc w:val="both"/>
      </w:pPr>
      <w:r>
        <w:rPr>
          <w:color w:val="222222"/>
          <w:sz w:val="21"/>
        </w:rPr>
        <w:t>2.2玉兰片：玉兰片以色泽黄白、洁净、肉厚、纤维少、节较密、体长不超过 10~17cm 的为最好，肉薄节疏、纤维多而粗老的质量较差。</w:t>
      </w:r>
    </w:p>
    <w:p>
      <w:pPr>
        <w:ind w:firstLine="420"/>
        <w:jc w:val="both"/>
      </w:pPr>
      <w:r>
        <w:rPr>
          <w:color w:val="222222"/>
          <w:sz w:val="21"/>
        </w:rPr>
        <w:t>2.3黄花菜：又名金针菜，干燥、有清香味，菜色黄亮、身条长而粗壮、条杆粗细均匀者为佳。</w:t>
      </w:r>
    </w:p>
    <w:p>
      <w:pPr>
        <w:ind w:firstLine="420"/>
        <w:jc w:val="both"/>
      </w:pPr>
      <w:r>
        <w:rPr>
          <w:color w:val="222222"/>
          <w:sz w:val="21"/>
        </w:rPr>
        <w:t>2.4黑木耳：黑木耳的质量一般以条形大而完整，耳瓣舒展少卷曲，内厚黑，富于光泽，体干不霉，无杂质和碎者为优，反之则差。</w:t>
      </w:r>
    </w:p>
    <w:p>
      <w:pPr>
        <w:ind w:firstLine="420"/>
        <w:jc w:val="both"/>
      </w:pPr>
      <w:r>
        <w:rPr>
          <w:color w:val="222222"/>
          <w:sz w:val="21"/>
        </w:rPr>
        <w:t>2.5银耳：银耳又称白木耳，以朵大、色洁白、有光泽、无杂质，根小、干度足，完整者为佳品， 朵小、色黄、根大、无光泽，散碎者次之；黄黑色者质量最次，依上述标准可将银耳分为上中下三等。质量好的银耳，根部易稣烂，食之柔软，质量次则根部大而发硬。</w:t>
      </w:r>
    </w:p>
    <w:p>
      <w:pPr>
        <w:ind w:firstLine="420"/>
        <w:jc w:val="both"/>
      </w:pPr>
      <w:r>
        <w:rPr>
          <w:color w:val="222222"/>
          <w:sz w:val="21"/>
        </w:rPr>
        <w:t>2.6香菇：根据采收季节和形状不同，香菇又分为花菇、厚菇、薄菇和菇丁四类，其中以花菇质量 最好，厚菇次之，薄菇更差，菇丁质量最差。</w:t>
      </w:r>
    </w:p>
    <w:p>
      <w:pPr>
        <w:ind w:firstLine="420"/>
        <w:jc w:val="both"/>
      </w:pPr>
      <w:r>
        <w:rPr>
          <w:color w:val="222222"/>
          <w:sz w:val="21"/>
        </w:rPr>
        <w:t>2.6.1花菇：朵小柄短，呈半球状，菇伞顶面有似菊花似的白色裂纹，肉厚、菌盖色泽淡黑，菇底 褶，通过加工呈淡黄色，身干、质嫩、有芳香气味者为质好好香菇。</w:t>
      </w:r>
    </w:p>
    <w:p>
      <w:pPr>
        <w:ind w:firstLine="420"/>
        <w:jc w:val="both"/>
      </w:pPr>
      <w:r>
        <w:rPr>
          <w:color w:val="222222"/>
          <w:sz w:val="21"/>
        </w:rPr>
        <w:t>2.6.2厚菇：形状如伞，顶面无花纹，呈黑色并略有光泽，质嫩、肉厚、朵稍大，质量稍次。</w:t>
      </w:r>
    </w:p>
    <w:p>
      <w:pPr>
        <w:ind w:firstLine="420"/>
        <w:jc w:val="both"/>
      </w:pPr>
      <w:r>
        <w:rPr>
          <w:color w:val="222222"/>
          <w:sz w:val="21"/>
        </w:rPr>
        <w:t>2.6.3薄菇：形状扁平、开伞、朵大、肉薄、菌盖表面浅褐色，菌褐白色，菌柄稍高，浅咖啡色， 基部稍带红色或红褐色，质量比花菇厚，菇差，味淡。</w:t>
      </w:r>
    </w:p>
    <w:p>
      <w:pPr>
        <w:ind w:firstLine="420"/>
        <w:jc w:val="both"/>
      </w:pPr>
      <w:r>
        <w:rPr>
          <w:color w:val="222222"/>
          <w:sz w:val="21"/>
        </w:rPr>
        <w:t>2.6.4菇丁：是指未充分发育的香菇，个小，直径在 2cm 以下，味淡质差。</w:t>
      </w:r>
    </w:p>
    <w:p>
      <w:pPr>
        <w:ind w:firstLine="420"/>
        <w:jc w:val="both"/>
      </w:pPr>
      <w:r>
        <w:rPr>
          <w:color w:val="222222"/>
          <w:sz w:val="21"/>
        </w:rPr>
        <w:t>2.7腐竹：腐竹又名豆腐皮和油皮，有一、二、三级品之分。一极品：色泽黄亮、干燥筋韧、耐贮、无碎块。 二极品：颜色较一极品灰黄、干燥无碎块。 三极品：颜色更灰黄、无光泽、易碎、筋韧性差。</w:t>
      </w:r>
    </w:p>
    <w:p>
      <w:pPr>
        <w:ind w:firstLine="420"/>
        <w:jc w:val="both"/>
      </w:pPr>
      <w:r>
        <w:rPr>
          <w:color w:val="222222"/>
          <w:sz w:val="21"/>
        </w:rPr>
        <w:t>2.8粉丝：质量好的粉丝，粉条细长、白净、晶莹透明、丝条均匀、整齐、干燥，不易折断，无斑 点、黑迹，无霉变，有粉丝特有的光泽。</w:t>
      </w:r>
    </w:p>
    <w:p>
      <w:pPr>
        <w:ind w:firstLine="420"/>
        <w:jc w:val="both"/>
      </w:pPr>
      <w:r>
        <w:rPr>
          <w:color w:val="222222"/>
          <w:sz w:val="21"/>
        </w:rPr>
        <w:t>2.9蹄筋：猪蹄筋的质量首先从蹄筋抽取的部位区别，后蹄筋体长而圆、粗状、光滑的品质好。前蹄筋体短而扁细、品质较差、保管完好的蹄筋应呈白色、无杂质，干、硬度高。</w:t>
      </w:r>
    </w:p>
    <w:p>
      <w:pPr>
        <w:ind w:firstLine="420"/>
        <w:jc w:val="both"/>
      </w:pPr>
      <w:r>
        <w:rPr>
          <w:color w:val="222222"/>
          <w:sz w:val="21"/>
        </w:rPr>
        <w:t>2.10干贝：上等干贝粒大完整、黄亮干燥、肉质饱满，肉丝清晰、粗且有特殊香气。粒小、碎破、色淡无光泽者较次。破碎、发黑发霉的为变质品。</w:t>
      </w:r>
    </w:p>
    <w:p>
      <w:pPr>
        <w:ind w:firstLine="420"/>
        <w:jc w:val="both"/>
      </w:pPr>
      <w:r>
        <w:rPr>
          <w:color w:val="222222"/>
          <w:sz w:val="21"/>
        </w:rPr>
        <w:t>2.11鱿鱼：市场上常见的鱿鱼有椭圆形和长方形，选购时应注意：体干、体形完整、光亮洁净、淡粉红色、片大头小、肉厚者为优。体形部分卷曲，尾部和背部红中透暗，两侧有微红点、体小而宽、肉薄者为次品。</w:t>
      </w:r>
    </w:p>
    <w:p>
      <w:pPr>
        <w:ind w:firstLine="420"/>
        <w:jc w:val="both"/>
      </w:pPr>
      <w:r>
        <w:rPr>
          <w:color w:val="222222"/>
          <w:sz w:val="21"/>
        </w:rPr>
        <w:t>2.12海蛰：海蛰是由水母加工制成，选购时应注意色泽，以乳白色或淡黄色、气味清新、质厚均匀、个体完整、块大、无血黑（体肉红皮）有光泽的为上品，带有膜状血衣的为次品。</w:t>
      </w:r>
    </w:p>
    <w:p>
      <w:pPr>
        <w:ind w:firstLine="420"/>
        <w:jc w:val="both"/>
      </w:pPr>
      <w:r>
        <w:rPr>
          <w:color w:val="222222"/>
          <w:sz w:val="21"/>
        </w:rPr>
        <w:t>2.13海参：检验标准主要是以体形的大小，肉质的厚薄及体内有无沙粒来鉴别。体形大、肉质厚、体内无沙者为上品，体形小、肉质薄、原体没剖开，体内有沙粒者较差。</w:t>
      </w:r>
    </w:p>
    <w:p>
      <w:pPr>
        <w:ind w:firstLine="420"/>
        <w:jc w:val="both"/>
      </w:pPr>
      <w:r>
        <w:rPr>
          <w:color w:val="222222"/>
          <w:sz w:val="21"/>
        </w:rPr>
        <w:t>2.14紫菜：属海产红藻类植物，因鲜紫菜叶较宽大，经干制成长方块形，散片状卷筒，其中以卷筒形柔嫩微脆、叶薄、色紫清香鲜美的为品质优。</w:t>
      </w:r>
    </w:p>
    <w:p>
      <w:pPr>
        <w:ind w:firstLine="420"/>
        <w:jc w:val="both"/>
      </w:pPr>
      <w:r>
        <w:rPr>
          <w:color w:val="222222"/>
          <w:sz w:val="21"/>
        </w:rPr>
        <w:t>2.15发菜：发菜是陆生褐色藻类，以藻体细长、绿黑色、柔软爽滑、干燥、无杂质的质量为优，反之则劣。</w:t>
      </w:r>
    </w:p>
    <w:p>
      <w:pPr>
        <w:ind w:firstLine="420"/>
        <w:jc w:val="both"/>
      </w:pPr>
      <w:r>
        <w:rPr>
          <w:color w:val="222222"/>
          <w:sz w:val="21"/>
        </w:rPr>
        <w:t>2.16鱼肚：其标准一般为体大整齐、肚厚、身干、光洁明亮、无虫蛀腐者好；灰暗、肉薄、体小则次之，有虫蛀、颜色发黑、变霉则为变质品。</w:t>
      </w:r>
    </w:p>
    <w:p>
      <w:pPr>
        <w:ind w:firstLine="420"/>
        <w:jc w:val="both"/>
      </w:pPr>
      <w:r>
        <w:rPr>
          <w:color w:val="222222"/>
          <w:sz w:val="21"/>
        </w:rPr>
        <w:t>（四）副食品</w:t>
      </w:r>
    </w:p>
    <w:p>
      <w:pPr>
        <w:ind w:firstLine="420"/>
        <w:jc w:val="both"/>
      </w:pPr>
      <w:r>
        <w:rPr>
          <w:color w:val="222222"/>
          <w:sz w:val="21"/>
        </w:rPr>
        <w:t>1</w:t>
      </w:r>
      <w:r>
        <w:rPr>
          <w:color w:val="222222"/>
          <w:sz w:val="21"/>
        </w:rPr>
        <w:t>.</w:t>
      </w:r>
      <w:r>
        <w:rPr>
          <w:color w:val="222222"/>
          <w:sz w:val="21"/>
        </w:rPr>
        <w:t>质量要求：</w:t>
      </w:r>
    </w:p>
    <w:p>
      <w:pPr>
        <w:ind w:firstLine="420"/>
        <w:jc w:val="both"/>
      </w:pPr>
      <w:r>
        <w:rPr>
          <w:color w:val="222222"/>
          <w:sz w:val="21"/>
        </w:rPr>
        <w:t>1.1鸡蛋：蛋壳清洁完整，色泽鲜明，无破损、裂纹，无霉斑，灯光透视时，整个蛋呈桔黄色至橙红色，蛋黄不见或略见阴影，没有霉味、酸味，臭味等不良气味，打开后蛋黄凸起、完整、有韧性，蛋白澄清、透明、稀稠分明，无异味。</w:t>
      </w:r>
    </w:p>
    <w:p>
      <w:pPr>
        <w:ind w:firstLine="420"/>
        <w:jc w:val="both"/>
      </w:pPr>
      <w:r>
        <w:rPr>
          <w:color w:val="222222"/>
          <w:sz w:val="21"/>
        </w:rPr>
        <w:t>1.2皮蛋：外表泥状包料完整、无霉斑，包料除掉后蛋壳亦完整无损，灯光透照蛋内容物凝固不动，打开观察，整个蛋凝固、不粘壳、清洁而有弹性、呈半透明的棕黄色，闻起来有芳香，无辛辣气。</w:t>
      </w:r>
    </w:p>
    <w:p>
      <w:pPr>
        <w:ind w:firstLine="420"/>
        <w:jc w:val="both"/>
      </w:pPr>
      <w:r>
        <w:rPr>
          <w:color w:val="222222"/>
          <w:sz w:val="21"/>
        </w:rPr>
        <w:t>1.3咸蛋：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ind w:firstLine="420"/>
        <w:jc w:val="both"/>
      </w:pPr>
      <w:r>
        <w:rPr>
          <w:color w:val="222222"/>
          <w:sz w:val="21"/>
        </w:rPr>
        <w:t>1.4豆腐：豆腐呈均匀的乳白色或淡黄色，稍有光泽，块形完整，软硬适度，富有一定的弹性，质地细嫩、结构均匀、无杂质，具有豆腐特有的香味，取样品品尝时口感细腻鲜嫩，味道纯正清香。</w:t>
      </w:r>
    </w:p>
    <w:p>
      <w:pPr>
        <w:ind w:firstLine="420"/>
        <w:jc w:val="both"/>
      </w:pPr>
      <w:r>
        <w:rPr>
          <w:color w:val="222222"/>
          <w:sz w:val="21"/>
        </w:rPr>
        <w:t>1.5腐竹：为枝条或片叶状，质脆易折，条状折断有空心，无霉斑、杂质、虫蛀。呈淡黄色，有光泽。具有腐竹固有的香味，无其他任何异味，取样品品尝其滋味，具有腐竹固有的鲜香滋味。</w:t>
      </w:r>
    </w:p>
    <w:p>
      <w:pPr>
        <w:ind w:firstLine="420"/>
        <w:jc w:val="both"/>
      </w:pPr>
      <w:r>
        <w:rPr>
          <w:color w:val="222222"/>
          <w:sz w:val="21"/>
        </w:rPr>
        <w:t>1.6大豆：大豆根据其种皮颜色和粒形可分为黄大豆、青大豆、黑大豆、其他大豆(赤色、褐色、棕色等)和饲料豆(秣食豆)五类。大豆皮色呈各种大豆固有的颜色，光彩油亮，洁净而有光泽，颗粒饱满，整齐均匀，无虫蛀粒，无杂质，无霉变。</w:t>
      </w:r>
    </w:p>
    <w:p>
      <w:pPr>
        <w:ind w:firstLine="420"/>
        <w:jc w:val="both"/>
      </w:pPr>
      <w:r>
        <w:rPr>
          <w:color w:val="222222"/>
          <w:sz w:val="21"/>
        </w:rPr>
        <w:t>1.7花生：果荚呈土黄色或白色，果仁呈各不同品种所特有的颜色，色泽分布均匀一致，带荚花生和去荚果仁均颗粒饱满、形态完整、大小均匀，子叶肥厚而有光泽，无杂质，具有花生特有的气味、香味，无任何异味。</w:t>
      </w:r>
    </w:p>
    <w:p>
      <w:pPr>
        <w:ind w:firstLine="420"/>
        <w:jc w:val="both"/>
      </w:pPr>
      <w:r>
        <w:rPr>
          <w:color w:val="222222"/>
          <w:sz w:val="21"/>
        </w:rPr>
        <w:t>1.8食糖：食糖根据经营习惯分为白糖、红糖、冰糖、方糖等。</w:t>
      </w:r>
    </w:p>
    <w:p>
      <w:pPr>
        <w:ind w:firstLine="420"/>
        <w:jc w:val="both"/>
      </w:pPr>
      <w:r>
        <w:rPr>
          <w:color w:val="222222"/>
          <w:sz w:val="21"/>
        </w:rPr>
        <w:t>1.8.1白糖的感官鉴别：色泽洁白明亮，有光泽，具有白糖的正常气味，无酸味、酒味或其他外来气。</w:t>
      </w:r>
    </w:p>
    <w:p>
      <w:pPr>
        <w:ind w:firstLine="420"/>
        <w:jc w:val="both"/>
      </w:pPr>
      <w:r>
        <w:rPr>
          <w:color w:val="222222"/>
          <w:sz w:val="21"/>
        </w:rPr>
        <w:t>1.8.2白砂糖：颗粒大如砂粒，晶粒均匀整齐，晶面明显，无碎末，糖质坚硬。</w:t>
      </w:r>
    </w:p>
    <w:p>
      <w:pPr>
        <w:ind w:firstLine="420"/>
        <w:jc w:val="both"/>
      </w:pPr>
      <w:r>
        <w:rPr>
          <w:color w:val="222222"/>
          <w:sz w:val="21"/>
        </w:rPr>
        <w:t>1.8.3绵白糖：颗粒细小而均匀，质地绵软、潮润。</w:t>
      </w:r>
    </w:p>
    <w:p>
      <w:pPr>
        <w:ind w:firstLine="420"/>
        <w:jc w:val="both"/>
      </w:pPr>
      <w:r>
        <w:rPr>
          <w:color w:val="222222"/>
          <w:sz w:val="21"/>
        </w:rPr>
        <w:t>1.8.4冰糖：块形完整，个粒均匀，结晶组织严密，透明或半透明，无破碎。</w:t>
      </w:r>
    </w:p>
    <w:p>
      <w:pPr>
        <w:ind w:firstLine="420"/>
        <w:jc w:val="both"/>
      </w:pPr>
      <w:r>
        <w:rPr>
          <w:color w:val="222222"/>
          <w:sz w:val="21"/>
        </w:rPr>
        <w:t>1.8.5方糖：呈正六面体状，表面平整，无裂纹，铁边，断角，无突出砂粒，无霉斑。</w:t>
      </w:r>
    </w:p>
    <w:p>
      <w:pPr>
        <w:ind w:firstLine="420"/>
        <w:jc w:val="both"/>
      </w:pPr>
      <w:r>
        <w:rPr>
          <w:color w:val="222222"/>
          <w:sz w:val="21"/>
        </w:rPr>
        <w:t>1.8.6凡是白糖都应干燥，晶粒松散，不粘手，不结块，无肉眼可见的杂质，白糖的水溶液应清晰透明无杂质。</w:t>
      </w:r>
    </w:p>
    <w:p>
      <w:pPr>
        <w:ind w:firstLine="420"/>
        <w:jc w:val="both"/>
      </w:pPr>
      <w:r>
        <w:rPr>
          <w:color w:val="222222"/>
          <w:sz w:val="21"/>
        </w:rPr>
        <w:t>1.8.7红糖的感官鉴别：红糖可细分为赤砂糖和红糖两种，其中赤砂糖是机制未经洗蜜的糖，红糖是用手工制成的土糖。因为红糖的颜色有红褐、青褐、黄褐、赤红、金黄、淡黄、枣红等多种，很不一致，故凭色泽难以识别红糖的质量，应将感官鉴别的侧重点放在组织状态、气味、滋味三个指标上。呈晶粒状或粉末状，干燥而松散，不结块，不成团，杂质，其水溶液清晰，无沉淀，无悬浮物，具有甘蔗汁的清香味，无有酒味、酸味或其他外来不良气味，口味浓甜带鲜，微有糖蜜味，无焦苦味或其他外来异味。</w:t>
      </w:r>
    </w:p>
    <w:p>
      <w:pPr>
        <w:ind w:firstLine="420"/>
        <w:jc w:val="both"/>
      </w:pPr>
      <w:r>
        <w:rPr>
          <w:color w:val="222222"/>
          <w:sz w:val="21"/>
        </w:rPr>
        <w:t>1.9辛辣料：辛辣料是采用植物果实和种子粉碎而配制成的天然植物香料，如五香粉、胡椒粉、花椒粉、咖喱粉、芥末粉等，辛辣料的主要原料有八角、花椒、胡椒、桂皮、小茴香、大茴香、辣椒、孜然等。 呈干燥状，具有该种香料植物所特有的色、香、味，没有不纯正的气味和味道，无发霉味或其他异味。</w:t>
      </w:r>
    </w:p>
    <w:p>
      <w:pPr>
        <w:ind w:firstLine="420"/>
        <w:jc w:val="both"/>
      </w:pPr>
      <w:r>
        <w:rPr>
          <w:color w:val="222222"/>
          <w:sz w:val="21"/>
        </w:rPr>
        <w:t>1.10馒头：按照中华人民共和国国家标准GB/T 21118—2007（国家标准委关于《小麦粉馒头》国家标准）供应。</w:t>
      </w:r>
    </w:p>
    <w:p>
      <w:pPr>
        <w:ind w:firstLine="420"/>
        <w:jc w:val="both"/>
      </w:pPr>
      <w:r>
        <w:rPr>
          <w:color w:val="222222"/>
          <w:sz w:val="21"/>
        </w:rPr>
        <w:t>2</w:t>
      </w:r>
      <w:r>
        <w:rPr>
          <w:color w:val="222222"/>
          <w:sz w:val="21"/>
        </w:rPr>
        <w:t>.</w:t>
      </w:r>
      <w:r>
        <w:rPr>
          <w:color w:val="222222"/>
          <w:sz w:val="21"/>
        </w:rPr>
        <w:t>配送要求的资质证明：（每次配送时提供）</w:t>
      </w:r>
    </w:p>
    <w:p>
      <w:pPr>
        <w:ind w:firstLine="420"/>
        <w:jc w:val="both"/>
      </w:pPr>
      <w:r>
        <w:rPr>
          <w:color w:val="222222"/>
          <w:sz w:val="21"/>
        </w:rPr>
        <w:t>食材票证要求：</w:t>
      </w:r>
    </w:p>
    <w:tbl>
      <w:tblPr>
        <w:tblW w:w="0" w:type="auto"/>
        <w:tblInd w:type="dxa" w:w="630"/>
        <w:tblBorders>
          <w:top w:val="none" w:color="000000" w:sz="4"/>
          <w:left w:val="none" w:color="000000" w:sz="4"/>
          <w:bottom w:val="none" w:color="000000" w:sz="4"/>
          <w:right w:val="none" w:color="000000" w:sz="4"/>
          <w:insideH w:val="none"/>
          <w:insideV w:val="none"/>
        </w:tblBorders>
      </w:tblPr>
      <w:tblGrid>
        <w:gridCol w:w="1515"/>
        <w:gridCol w:w="2325"/>
        <w:gridCol w:w="3465"/>
      </w:tblGrid>
      <w:tr>
        <w:tc>
          <w:tcPr>
            <w:tcW w:type="dxa" w:w="1515"/>
            <w:tcBorders>
              <w:top w:val="single" w:color="000000" w:sz="4"/>
              <w:left w:val="single" w:color="000000" w:sz="4"/>
              <w:bottom w:val="single" w:color="000000" w:sz="4"/>
              <w:right w:val="single" w:color="000000" w:sz="4"/>
            </w:tcBorders>
            <w:vAlign w:val="top"/>
          </w:tcPr>
          <w:p>
            <w:pPr>
              <w:jc w:val="center"/>
            </w:pPr>
            <w:r>
              <w:rPr>
                <w:sz w:val="21"/>
              </w:rPr>
              <w:t>类别</w:t>
            </w:r>
          </w:p>
        </w:tc>
        <w:tc>
          <w:tcPr>
            <w:tcW w:type="dxa" w:w="2325"/>
            <w:tcBorders>
              <w:top w:val="single" w:color="000000" w:sz="4"/>
              <w:left w:val="single" w:color="000000" w:sz="4"/>
              <w:bottom w:val="single" w:color="000000" w:sz="4"/>
              <w:right w:val="single" w:color="000000" w:sz="4"/>
            </w:tcBorders>
            <w:vAlign w:val="top"/>
          </w:tcPr>
          <w:p>
            <w:pPr>
              <w:jc w:val="center"/>
            </w:pPr>
            <w:r>
              <w:rPr>
                <w:sz w:val="21"/>
              </w:rPr>
              <w:t>食材</w:t>
            </w:r>
            <w:r>
              <w:rPr>
                <w:sz w:val="21"/>
              </w:rPr>
              <w:t>资质名称</w:t>
            </w:r>
          </w:p>
        </w:tc>
        <w:tc>
          <w:tcPr>
            <w:tcW w:type="dxa" w:w="3465"/>
            <w:tcBorders>
              <w:top w:val="single" w:color="000000" w:sz="4"/>
              <w:left w:val="single" w:color="000000" w:sz="4"/>
              <w:bottom w:val="single" w:color="000000" w:sz="4"/>
              <w:right w:val="single" w:color="000000" w:sz="4"/>
            </w:tcBorders>
            <w:vAlign w:val="top"/>
          </w:tcPr>
          <w:p>
            <w:pPr>
              <w:jc w:val="center"/>
            </w:pPr>
            <w:r>
              <w:rPr>
                <w:sz w:val="21"/>
              </w:rPr>
              <w:t>验收索证要求</w:t>
            </w:r>
          </w:p>
        </w:tc>
      </w:tr>
      <w:tr>
        <w:tc>
          <w:tcPr>
            <w:tcW w:type="dxa" w:w="1515"/>
            <w:tcBorders>
              <w:top w:val="none" w:color="000000" w:sz="4"/>
              <w:left w:val="single" w:color="000000" w:sz="4"/>
              <w:bottom w:val="single" w:color="000000" w:sz="4"/>
              <w:right w:val="single" w:color="000000" w:sz="4"/>
            </w:tcBorders>
            <w:vAlign w:val="top"/>
          </w:tcPr>
          <w:p>
            <w:pPr>
              <w:jc w:val="center"/>
            </w:pPr>
            <w:r>
              <w:rPr>
                <w:sz w:val="21"/>
              </w:rPr>
              <w:t>副食品</w:t>
            </w:r>
          </w:p>
        </w:tc>
        <w:tc>
          <w:tcPr>
            <w:tcW w:type="dxa" w:w="2325"/>
            <w:tcBorders>
              <w:top w:val="none" w:color="000000" w:sz="4"/>
              <w:left w:val="single" w:color="000000" w:sz="4"/>
              <w:bottom w:val="single" w:color="000000" w:sz="4"/>
              <w:right w:val="single" w:color="000000" w:sz="4"/>
            </w:tcBorders>
            <w:vAlign w:val="top"/>
          </w:tcPr>
          <w:p>
            <w:pPr>
              <w:jc w:val="center"/>
            </w:pPr>
            <w:r>
              <w:rPr>
                <w:sz w:val="21"/>
              </w:rPr>
              <w:t>食材</w:t>
            </w:r>
            <w:r>
              <w:rPr>
                <w:sz w:val="21"/>
              </w:rPr>
              <w:t>清单</w:t>
            </w:r>
          </w:p>
        </w:tc>
        <w:tc>
          <w:tcPr>
            <w:tcW w:type="dxa" w:w="3465"/>
            <w:tcBorders>
              <w:top w:val="none" w:color="000000" w:sz="4"/>
              <w:left w:val="single" w:color="000000" w:sz="4"/>
              <w:bottom w:val="single" w:color="000000" w:sz="4"/>
              <w:right w:val="single" w:color="000000" w:sz="4"/>
            </w:tcBorders>
            <w:vAlign w:val="top"/>
          </w:tcPr>
          <w:p>
            <w:pPr>
              <w:jc w:val="center"/>
            </w:pPr>
            <w:r>
              <w:rPr>
                <w:sz w:val="21"/>
              </w:rPr>
              <w:t>加盖</w:t>
            </w:r>
            <w:r>
              <w:rPr>
                <w:sz w:val="21"/>
              </w:rPr>
              <w:t>乙方</w:t>
            </w:r>
            <w:r>
              <w:rPr>
                <w:sz w:val="21"/>
              </w:rPr>
              <w:t>公章的</w:t>
            </w:r>
            <w:r>
              <w:rPr>
                <w:sz w:val="21"/>
              </w:rPr>
              <w:t>食材</w:t>
            </w:r>
            <w:r>
              <w:rPr>
                <w:sz w:val="21"/>
              </w:rPr>
              <w:t>清单（送货单）</w:t>
            </w:r>
          </w:p>
        </w:tc>
      </w:tr>
    </w:tbl>
    <w:p>
      <w:pPr>
        <w:jc w:val="both"/>
      </w:pPr>
      <w:r>
        <w:rPr>
          <w:b/>
          <w:sz w:val="21"/>
        </w:rPr>
        <w:t>四、</w:t>
      </w:r>
      <w:r>
        <w:rPr>
          <w:b/>
          <w:sz w:val="21"/>
        </w:rPr>
        <w:t>配送</w:t>
      </w:r>
      <w:r>
        <w:rPr>
          <w:b/>
          <w:sz w:val="21"/>
        </w:rPr>
        <w:t>和管理要求</w:t>
      </w:r>
    </w:p>
    <w:p>
      <w:pPr>
        <w:ind w:firstLine="420"/>
        <w:jc w:val="both"/>
      </w:pPr>
      <w:r>
        <w:rPr>
          <w:color w:val="222222"/>
          <w:sz w:val="21"/>
        </w:rPr>
        <w:t>1</w:t>
      </w:r>
      <w:r>
        <w:rPr>
          <w:color w:val="222222"/>
          <w:sz w:val="21"/>
        </w:rPr>
        <w:t>.</w:t>
      </w:r>
      <w:r>
        <w:rPr>
          <w:color w:val="222222"/>
          <w:sz w:val="21"/>
        </w:rPr>
        <w:t>副食品配送必须保持市场同价，</w:t>
      </w:r>
      <w:r>
        <w:rPr>
          <w:color w:val="222222"/>
          <w:sz w:val="21"/>
        </w:rPr>
        <w:t>乙方</w:t>
      </w:r>
      <w:r>
        <w:rPr>
          <w:color w:val="222222"/>
          <w:sz w:val="21"/>
        </w:rPr>
        <w:t>的食材价格与当地市场价</w:t>
      </w:r>
      <w:r>
        <w:rPr>
          <w:color w:val="222222"/>
          <w:sz w:val="21"/>
        </w:rPr>
        <w:t>格</w:t>
      </w:r>
      <w:r>
        <w:rPr>
          <w:color w:val="222222"/>
          <w:sz w:val="21"/>
        </w:rPr>
        <w:t>一致或略低。</w:t>
      </w:r>
    </w:p>
    <w:p>
      <w:pPr>
        <w:ind w:firstLine="420"/>
        <w:jc w:val="both"/>
      </w:pPr>
      <w:r>
        <w:rPr>
          <w:color w:val="222222"/>
          <w:sz w:val="21"/>
        </w:rPr>
        <w:t>2</w:t>
      </w:r>
      <w:r>
        <w:rPr>
          <w:color w:val="222222"/>
          <w:sz w:val="21"/>
        </w:rPr>
        <w:t>.</w:t>
      </w:r>
      <w:r>
        <w:rPr>
          <w:color w:val="222222"/>
          <w:sz w:val="21"/>
        </w:rPr>
        <w:t>采购的食材必须符合食品卫生要求。禁止采购无证经营的食品，食品采购必须有检验合格证明。严禁采购有害、有毒、腐烂变质、酸败、霉变、生虫、污垢不洁、混有异物或其他感官性状异常的食品。禁止采购超过保质期限的食品。</w:t>
      </w:r>
    </w:p>
    <w:p>
      <w:pPr>
        <w:ind w:firstLine="420"/>
        <w:jc w:val="both"/>
      </w:pPr>
      <w:r>
        <w:rPr>
          <w:color w:val="222222"/>
          <w:sz w:val="21"/>
        </w:rPr>
        <w:t>3</w:t>
      </w:r>
      <w:r>
        <w:rPr>
          <w:color w:val="222222"/>
          <w:sz w:val="21"/>
        </w:rPr>
        <w:t>.</w:t>
      </w:r>
      <w:r>
        <w:rPr>
          <w:color w:val="222222"/>
          <w:sz w:val="21"/>
        </w:rPr>
        <w:t>副食品包装与标志要求：包装、容器</w:t>
      </w:r>
      <w:r>
        <w:rPr>
          <w:color w:val="222222"/>
          <w:sz w:val="21"/>
        </w:rPr>
        <w:t>(框、箱、袋)要求：清洁、干燥、牢固、透气，无污染、无异味、无霉变现象。标志：食品包装必须符合国家规范。采购的食品不得存放在有害、有毒的容器内。食品包装上必须使用原产地标识，应注明：制造商名称和厂址、食品名称和重（容）量、生产日期和保质期限以及规格和</w:t>
      </w:r>
      <w:r>
        <w:rPr>
          <w:color w:val="222222"/>
          <w:sz w:val="21"/>
        </w:rPr>
        <w:t>SC开头的生产许可证编号</w:t>
      </w:r>
      <w:r>
        <w:rPr>
          <w:color w:val="222222"/>
          <w:sz w:val="21"/>
        </w:rPr>
        <w:t>等。所有食品包装必须用塑料罐、胶带，不能有玻璃、铁罐或其他锋利的有伤害性的材质。</w:t>
      </w:r>
    </w:p>
    <w:p>
      <w:pPr>
        <w:ind w:firstLine="420"/>
        <w:jc w:val="both"/>
      </w:pPr>
      <w:r>
        <w:rPr>
          <w:color w:val="222222"/>
          <w:sz w:val="21"/>
        </w:rPr>
        <w:t>4</w:t>
      </w:r>
      <w:r>
        <w:rPr>
          <w:color w:val="222222"/>
          <w:sz w:val="21"/>
        </w:rPr>
        <w:t>.</w:t>
      </w:r>
      <w:r>
        <w:rPr>
          <w:color w:val="222222"/>
          <w:sz w:val="21"/>
        </w:rPr>
        <w:t>食品供应链要求：所有食品的来源必须清晰，包装食品要有</w:t>
      </w:r>
      <w:r>
        <w:rPr>
          <w:color w:val="222222"/>
          <w:sz w:val="21"/>
        </w:rPr>
        <w:t>SC开头的生产许可证编号</w:t>
      </w:r>
      <w:r>
        <w:rPr>
          <w:color w:val="222222"/>
          <w:sz w:val="21"/>
        </w:rPr>
        <w:t>。</w:t>
      </w:r>
    </w:p>
    <w:p>
      <w:pPr>
        <w:ind w:firstLine="420"/>
        <w:jc w:val="both"/>
      </w:pPr>
      <w:r>
        <w:rPr>
          <w:color w:val="222222"/>
          <w:sz w:val="21"/>
        </w:rPr>
        <w:t>5</w:t>
      </w:r>
      <w:r>
        <w:rPr>
          <w:color w:val="222222"/>
          <w:sz w:val="21"/>
        </w:rPr>
        <w:t>.</w:t>
      </w:r>
      <w:r>
        <w:rPr>
          <w:color w:val="222222"/>
          <w:sz w:val="21"/>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ind w:firstLine="420"/>
        <w:jc w:val="both"/>
      </w:pPr>
      <w:r>
        <w:rPr>
          <w:color w:val="222222"/>
          <w:sz w:val="21"/>
        </w:rPr>
        <w:t>6</w:t>
      </w:r>
      <w:r>
        <w:rPr>
          <w:color w:val="222222"/>
          <w:sz w:val="21"/>
        </w:rPr>
        <w:t>.</w:t>
      </w:r>
      <w:r>
        <w:rPr>
          <w:color w:val="222222"/>
          <w:sz w:val="21"/>
        </w:rPr>
        <w:t>乙方</w:t>
      </w:r>
      <w:r>
        <w:rPr>
          <w:color w:val="222222"/>
          <w:sz w:val="21"/>
        </w:rPr>
        <w:t>必须严格按照投标描述的食材质量配送。</w:t>
      </w:r>
    </w:p>
    <w:p>
      <w:pPr>
        <w:jc w:val="both"/>
      </w:pPr>
      <w:r>
        <w:rPr>
          <w:b/>
          <w:sz w:val="21"/>
        </w:rPr>
        <w:t>五、配送方式</w:t>
      </w:r>
    </w:p>
    <w:p>
      <w:pPr>
        <w:ind w:firstLine="420"/>
        <w:jc w:val="both"/>
      </w:pPr>
      <w:r>
        <w:rPr>
          <w:color w:val="222222"/>
          <w:sz w:val="21"/>
        </w:rPr>
        <w:t>1．配送地点：广东省三水强制隔离戒毒所民警餐厅及招待所。</w:t>
      </w:r>
    </w:p>
    <w:p>
      <w:pPr>
        <w:ind w:firstLine="420"/>
        <w:jc w:val="both"/>
      </w:pPr>
      <w:r>
        <w:rPr>
          <w:color w:val="222222"/>
          <w:sz w:val="21"/>
        </w:rPr>
        <w:t>2．配送时间要求：合同签订后，按甲方通知，从正式配送之日起，每天17：00分前，甲方将次日的配送清单发给乙方，乙方均于次日7:30点前将配送清单上的所有食材保质保量送至甲方指定地点。若配送清单上有部分食材因为季节或其他特殊原因无法提供，经甲方同意后方可调换其他食材品种。结算也以实际供货验收单为准。</w:t>
      </w:r>
    </w:p>
    <w:p>
      <w:pPr>
        <w:ind w:firstLine="420"/>
        <w:jc w:val="both"/>
      </w:pPr>
      <w:r>
        <w:rPr>
          <w:color w:val="222222"/>
          <w:sz w:val="21"/>
        </w:rPr>
        <w:t>3．对于不符合质量的食材甲方可退货或换货（由于产品质量而造成甲方工作人员发生安全事故时，乙方须承担全部责任）。</w:t>
      </w:r>
    </w:p>
    <w:p>
      <w:pPr>
        <w:ind w:firstLine="420"/>
        <w:jc w:val="both"/>
      </w:pPr>
      <w:r>
        <w:rPr>
          <w:color w:val="222222"/>
          <w:sz w:val="21"/>
        </w:rPr>
        <w:t>4．对甲方临时的配送要求，需随订随送，并在1个小时内配送到甲方指定地点。</w:t>
      </w:r>
    </w:p>
    <w:p>
      <w:pPr>
        <w:ind w:firstLine="420"/>
        <w:jc w:val="both"/>
      </w:pPr>
      <w:r>
        <w:rPr>
          <w:color w:val="222222"/>
          <w:sz w:val="21"/>
        </w:rPr>
        <w:t>5．保证配送品种斤两的准确性，以甲方的验货数量为准，乙方每次随货送上一式两份的配送清单，供双方验货后签字确认，双方各持一份，作为送、收货的凭证。</w:t>
      </w:r>
    </w:p>
    <w:p>
      <w:pPr>
        <w:jc w:val="both"/>
      </w:pPr>
      <w:r>
        <w:rPr>
          <w:b/>
          <w:sz w:val="21"/>
        </w:rPr>
        <w:t>六</w:t>
      </w:r>
      <w:r>
        <w:rPr>
          <w:b/>
          <w:sz w:val="21"/>
        </w:rPr>
        <w:t>、</w:t>
      </w:r>
      <w:r>
        <w:rPr>
          <w:b/>
          <w:sz w:val="21"/>
        </w:rPr>
        <w:t>乙方</w:t>
      </w:r>
      <w:r>
        <w:rPr>
          <w:b/>
          <w:sz w:val="21"/>
        </w:rPr>
        <w:t>的管理要求</w:t>
      </w:r>
    </w:p>
    <w:p>
      <w:pPr>
        <w:ind w:firstLine="420"/>
        <w:jc w:val="both"/>
      </w:pPr>
      <w:r>
        <w:rPr>
          <w:sz w:val="21"/>
        </w:rPr>
        <w:t>（一）</w:t>
      </w:r>
      <w:r>
        <w:rPr>
          <w:sz w:val="21"/>
        </w:rPr>
        <w:t>乙方</w:t>
      </w:r>
      <w:r>
        <w:rPr>
          <w:sz w:val="21"/>
        </w:rPr>
        <w:t>有以下行为，经调查属实的，</w:t>
      </w:r>
      <w:r>
        <w:rPr>
          <w:sz w:val="21"/>
        </w:rPr>
        <w:t>甲方</w:t>
      </w:r>
      <w:r>
        <w:rPr>
          <w:sz w:val="21"/>
        </w:rPr>
        <w:t>将立即解除配送合同：</w:t>
      </w:r>
    </w:p>
    <w:p>
      <w:pPr>
        <w:ind w:firstLine="420"/>
        <w:jc w:val="both"/>
      </w:pPr>
      <w:r>
        <w:rPr>
          <w:sz w:val="21"/>
        </w:rPr>
        <w:t>1．弄虚作假，提供虚假材料取得中标配送资格的；</w:t>
      </w:r>
    </w:p>
    <w:p>
      <w:pPr>
        <w:ind w:firstLine="420"/>
        <w:jc w:val="both"/>
      </w:pPr>
      <w:r>
        <w:rPr>
          <w:sz w:val="21"/>
        </w:rPr>
        <w:t>2．中标配送项目有转包、分包行为的；</w:t>
      </w:r>
    </w:p>
    <w:p>
      <w:pPr>
        <w:ind w:firstLine="420"/>
        <w:jc w:val="both"/>
      </w:pPr>
      <w:r>
        <w:rPr>
          <w:sz w:val="21"/>
        </w:rPr>
        <w:t>3．经营情况发生重大变更，已经不具备承接中标配送项目能力的；</w:t>
      </w:r>
    </w:p>
    <w:p>
      <w:pPr>
        <w:ind w:firstLine="420"/>
        <w:jc w:val="both"/>
      </w:pPr>
      <w:r>
        <w:rPr>
          <w:sz w:val="21"/>
        </w:rPr>
        <w:t>4．无正当理由拒绝履行合同向</w:t>
      </w:r>
      <w:r>
        <w:rPr>
          <w:sz w:val="21"/>
        </w:rPr>
        <w:t>甲方</w:t>
      </w:r>
      <w:r>
        <w:rPr>
          <w:sz w:val="21"/>
        </w:rPr>
        <w:t>配送的；</w:t>
      </w:r>
    </w:p>
    <w:p>
      <w:pPr>
        <w:ind w:firstLine="420"/>
        <w:jc w:val="both"/>
      </w:pPr>
      <w:r>
        <w:rPr>
          <w:sz w:val="21"/>
        </w:rPr>
        <w:t>5．有不正当竞争行为的；</w:t>
      </w:r>
    </w:p>
    <w:p>
      <w:pPr>
        <w:ind w:firstLine="420"/>
        <w:jc w:val="both"/>
      </w:pPr>
      <w:r>
        <w:rPr>
          <w:sz w:val="21"/>
        </w:rPr>
        <w:t>6．因所配送食材质量原因导致</w:t>
      </w:r>
      <w:r>
        <w:rPr>
          <w:sz w:val="21"/>
        </w:rPr>
        <w:t>甲方</w:t>
      </w:r>
      <w:r>
        <w:rPr>
          <w:sz w:val="21"/>
        </w:rPr>
        <w:t>内部发生食品安全事故的；</w:t>
      </w:r>
    </w:p>
    <w:p>
      <w:pPr>
        <w:ind w:firstLine="420"/>
        <w:jc w:val="both"/>
      </w:pPr>
      <w:r>
        <w:rPr>
          <w:sz w:val="21"/>
        </w:rPr>
        <w:t>7．所配送食材存在假冒伪劣行为的；</w:t>
      </w:r>
    </w:p>
    <w:p>
      <w:pPr>
        <w:ind w:firstLine="420"/>
        <w:jc w:val="both"/>
      </w:pPr>
      <w:r>
        <w:rPr>
          <w:sz w:val="21"/>
        </w:rPr>
        <w:t>8．因</w:t>
      </w:r>
      <w:r>
        <w:rPr>
          <w:sz w:val="21"/>
        </w:rPr>
        <w:t>乙方</w:t>
      </w:r>
      <w:r>
        <w:rPr>
          <w:sz w:val="21"/>
        </w:rPr>
        <w:t>原因导致</w:t>
      </w:r>
      <w:r>
        <w:rPr>
          <w:sz w:val="21"/>
        </w:rPr>
        <w:t>甲方</w:t>
      </w:r>
      <w:r>
        <w:rPr>
          <w:sz w:val="21"/>
        </w:rPr>
        <w:t>单位内发生安全事故的；</w:t>
      </w:r>
    </w:p>
    <w:p>
      <w:pPr>
        <w:ind w:firstLine="420"/>
        <w:jc w:val="both"/>
      </w:pPr>
      <w:r>
        <w:rPr>
          <w:sz w:val="21"/>
        </w:rPr>
        <w:t>9．有其它违法违纪行为的；</w:t>
      </w:r>
    </w:p>
    <w:p>
      <w:pPr>
        <w:ind w:firstLine="420"/>
        <w:jc w:val="both"/>
      </w:pPr>
      <w:r>
        <w:rPr>
          <w:sz w:val="21"/>
        </w:rPr>
        <w:t>10．</w:t>
      </w:r>
      <w:r>
        <w:rPr>
          <w:sz w:val="21"/>
        </w:rPr>
        <w:t>甲方</w:t>
      </w:r>
      <w:r>
        <w:rPr>
          <w:sz w:val="21"/>
        </w:rPr>
        <w:t>在服务期限内对</w:t>
      </w:r>
      <w:r>
        <w:rPr>
          <w:sz w:val="21"/>
        </w:rPr>
        <w:t>乙方</w:t>
      </w:r>
      <w:r>
        <w:rPr>
          <w:sz w:val="21"/>
        </w:rPr>
        <w:t>实行考核制度（见</w:t>
      </w:r>
      <w:r>
        <w:rPr>
          <w:sz w:val="21"/>
        </w:rPr>
        <w:t>附件</w:t>
      </w:r>
      <w:r>
        <w:rPr>
          <w:sz w:val="21"/>
        </w:rPr>
        <w:t>的《年度考核表》），服务期限内（即一年内）若扣分累计达到</w:t>
      </w:r>
      <w:r>
        <w:rPr>
          <w:sz w:val="21"/>
        </w:rPr>
        <w:t>30分（含30分）以上的。</w:t>
      </w:r>
    </w:p>
    <w:p>
      <w:pPr>
        <w:ind w:firstLine="420"/>
        <w:jc w:val="both"/>
      </w:pPr>
      <w:r>
        <w:rPr>
          <w:sz w:val="21"/>
        </w:rPr>
        <w:t>11.合同履行期间，</w:t>
      </w:r>
      <w:r>
        <w:rPr>
          <w:sz w:val="21"/>
        </w:rPr>
        <w:t>甲方</w:t>
      </w:r>
      <w:r>
        <w:rPr>
          <w:sz w:val="21"/>
        </w:rPr>
        <w:t>的工作人员及直系亲属不得参与</w:t>
      </w:r>
      <w:r>
        <w:rPr>
          <w:sz w:val="21"/>
        </w:rPr>
        <w:t>乙方</w:t>
      </w:r>
      <w:r>
        <w:rPr>
          <w:sz w:val="21"/>
        </w:rPr>
        <w:t>的生产经营活动，发现类似情况，</w:t>
      </w:r>
      <w:r>
        <w:rPr>
          <w:sz w:val="21"/>
        </w:rPr>
        <w:t>甲方</w:t>
      </w:r>
      <w:r>
        <w:rPr>
          <w:sz w:val="21"/>
        </w:rPr>
        <w:t>有权单方终止合同，重新招标。</w:t>
      </w:r>
    </w:p>
    <w:p>
      <w:pPr>
        <w:ind w:firstLine="420"/>
        <w:jc w:val="both"/>
      </w:pPr>
      <w:r>
        <w:rPr>
          <w:sz w:val="21"/>
        </w:rPr>
        <w:t>（二）必须依据国家有关法律法规要求建立健全各项管理制度，保证食品安全，有明确的食品安全责任人。因所配送食材质量原因导致</w:t>
      </w:r>
      <w:r>
        <w:rPr>
          <w:sz w:val="21"/>
        </w:rPr>
        <w:t>甲方</w:t>
      </w:r>
      <w:r>
        <w:rPr>
          <w:sz w:val="21"/>
        </w:rPr>
        <w:t>内部发生食品安全事故，除解除合同外，</w:t>
      </w:r>
      <w:r>
        <w:rPr>
          <w:sz w:val="21"/>
        </w:rPr>
        <w:t>乙方</w:t>
      </w:r>
      <w:r>
        <w:rPr>
          <w:sz w:val="21"/>
        </w:rPr>
        <w:t>还需赔偿</w:t>
      </w:r>
      <w:r>
        <w:rPr>
          <w:sz w:val="21"/>
        </w:rPr>
        <w:t>甲方</w:t>
      </w:r>
      <w:r>
        <w:rPr>
          <w:sz w:val="21"/>
        </w:rPr>
        <w:t>救治经费及误工损失。</w:t>
      </w:r>
    </w:p>
    <w:p>
      <w:pPr>
        <w:ind w:firstLine="420"/>
        <w:jc w:val="both"/>
      </w:pPr>
      <w:r>
        <w:rPr>
          <w:sz w:val="21"/>
        </w:rPr>
        <w:t>（三）由于</w:t>
      </w:r>
      <w:r>
        <w:rPr>
          <w:sz w:val="21"/>
        </w:rPr>
        <w:t>甲方</w:t>
      </w:r>
      <w:r>
        <w:rPr>
          <w:sz w:val="21"/>
        </w:rPr>
        <w:t>工作的特殊性，</w:t>
      </w:r>
      <w:r>
        <w:rPr>
          <w:sz w:val="21"/>
        </w:rPr>
        <w:t>乙方</w:t>
      </w:r>
      <w:r>
        <w:rPr>
          <w:sz w:val="21"/>
        </w:rPr>
        <w:t>应做好本单位工作人员的教育工作，遵守</w:t>
      </w:r>
      <w:r>
        <w:rPr>
          <w:sz w:val="21"/>
        </w:rPr>
        <w:t>甲方</w:t>
      </w:r>
      <w:r>
        <w:rPr>
          <w:sz w:val="21"/>
        </w:rPr>
        <w:t>出入门岗和物品携带等各项规定。</w:t>
      </w:r>
    </w:p>
    <w:p>
      <w:pPr>
        <w:ind w:firstLine="420"/>
        <w:jc w:val="both"/>
      </w:pPr>
      <w:r>
        <w:rPr>
          <w:sz w:val="21"/>
        </w:rPr>
        <w:t>（四）按合同约定的食材清单配送，</w:t>
      </w:r>
      <w:r>
        <w:rPr>
          <w:sz w:val="21"/>
        </w:rPr>
        <w:t>乙方</w:t>
      </w:r>
      <w:r>
        <w:rPr>
          <w:sz w:val="21"/>
        </w:rPr>
        <w:t>不得转包、分包，否则</w:t>
      </w:r>
      <w:r>
        <w:rPr>
          <w:sz w:val="21"/>
        </w:rPr>
        <w:t>甲方</w:t>
      </w:r>
      <w:r>
        <w:rPr>
          <w:sz w:val="21"/>
        </w:rPr>
        <w:t>有权单方面终止合同，项目另行处理，</w:t>
      </w:r>
      <w:r>
        <w:rPr>
          <w:sz w:val="21"/>
        </w:rPr>
        <w:t>乙方</w:t>
      </w:r>
      <w:r>
        <w:rPr>
          <w:sz w:val="21"/>
        </w:rPr>
        <w:t>承担由此造成的经济损失。</w:t>
      </w:r>
    </w:p>
    <w:p>
      <w:pPr>
        <w:ind w:firstLine="420"/>
        <w:jc w:val="both"/>
      </w:pPr>
      <w:r>
        <w:rPr>
          <w:sz w:val="21"/>
        </w:rPr>
        <w:t>（五）</w:t>
      </w:r>
      <w:r>
        <w:rPr>
          <w:sz w:val="21"/>
        </w:rPr>
        <w:t>乙方</w:t>
      </w:r>
      <w:r>
        <w:rPr>
          <w:sz w:val="21"/>
        </w:rPr>
        <w:t>应严格按招标要求（含品种、质量等）配送，不得变更配送食材，否则，</w:t>
      </w:r>
      <w:r>
        <w:rPr>
          <w:sz w:val="21"/>
        </w:rPr>
        <w:t>甲方</w:t>
      </w:r>
      <w:r>
        <w:rPr>
          <w:sz w:val="21"/>
        </w:rPr>
        <w:t>有权退货。应严格按要求（含名称、产地、规格和重量等）配送，否则，</w:t>
      </w:r>
      <w:r>
        <w:rPr>
          <w:sz w:val="21"/>
        </w:rPr>
        <w:t>甲方</w:t>
      </w:r>
      <w:r>
        <w:rPr>
          <w:sz w:val="21"/>
        </w:rPr>
        <w:t>有权拒收。若因特殊情况（如商家停产或天气因素等）确实需要变更的个别食材，经</w:t>
      </w:r>
      <w:r>
        <w:rPr>
          <w:sz w:val="21"/>
        </w:rPr>
        <w:t>甲方</w:t>
      </w:r>
      <w:r>
        <w:rPr>
          <w:sz w:val="21"/>
        </w:rPr>
        <w:t>同意，必须以质量较高的同类食材代替。</w:t>
      </w:r>
    </w:p>
    <w:p>
      <w:pPr>
        <w:ind w:firstLine="420"/>
        <w:jc w:val="both"/>
      </w:pPr>
      <w:r>
        <w:rPr>
          <w:sz w:val="21"/>
        </w:rPr>
        <w:t>（六）提供项目经理人员及运送人员名单：</w:t>
      </w:r>
      <w:r>
        <w:rPr>
          <w:sz w:val="21"/>
        </w:rPr>
        <w:t>项目经理人员数量一名</w:t>
      </w:r>
      <w:r>
        <w:rPr>
          <w:sz w:val="21"/>
        </w:rPr>
        <w:t>，运送人员两名。项目经理及运送人员在合同签订之前须在</w:t>
      </w:r>
      <w:r>
        <w:rPr>
          <w:sz w:val="21"/>
        </w:rPr>
        <w:t>甲方</w:t>
      </w:r>
      <w:r>
        <w:rPr>
          <w:sz w:val="21"/>
        </w:rPr>
        <w:t>处进行备案。项目执行过程中，项目经理作为</w:t>
      </w:r>
      <w:r>
        <w:rPr>
          <w:sz w:val="21"/>
        </w:rPr>
        <w:t>乙方</w:t>
      </w:r>
      <w:r>
        <w:rPr>
          <w:sz w:val="21"/>
        </w:rPr>
        <w:t>的代表与</w:t>
      </w:r>
      <w:r>
        <w:rPr>
          <w:sz w:val="21"/>
        </w:rPr>
        <w:t>甲方</w:t>
      </w:r>
      <w:r>
        <w:rPr>
          <w:sz w:val="21"/>
        </w:rPr>
        <w:t>进行业务上的联系往来，第一年合同期内不得更换。如遇不可抗力必须更换，须事先征得</w:t>
      </w:r>
      <w:r>
        <w:rPr>
          <w:sz w:val="21"/>
        </w:rPr>
        <w:t>甲方</w:t>
      </w:r>
      <w:r>
        <w:rPr>
          <w:sz w:val="21"/>
        </w:rPr>
        <w:t>同意之后才能更换，且一年内不得超过两次。运送人员原则上不得更换，如确实需要更换运送人员的，</w:t>
      </w:r>
      <w:r>
        <w:rPr>
          <w:sz w:val="21"/>
        </w:rPr>
        <w:t>乙方</w:t>
      </w:r>
      <w:r>
        <w:rPr>
          <w:sz w:val="21"/>
        </w:rPr>
        <w:t>需经</w:t>
      </w:r>
      <w:r>
        <w:rPr>
          <w:sz w:val="21"/>
        </w:rPr>
        <w:t>甲方</w:t>
      </w:r>
      <w:r>
        <w:rPr>
          <w:sz w:val="21"/>
        </w:rPr>
        <w:t>同意后方得更换。因</w:t>
      </w:r>
      <w:r>
        <w:rPr>
          <w:sz w:val="21"/>
        </w:rPr>
        <w:t>乙方</w:t>
      </w:r>
      <w:r>
        <w:rPr>
          <w:sz w:val="21"/>
        </w:rPr>
        <w:t>未遵守上述规定而导致无法正常进入</w:t>
      </w:r>
      <w:r>
        <w:rPr>
          <w:sz w:val="21"/>
        </w:rPr>
        <w:t>甲方</w:t>
      </w:r>
      <w:r>
        <w:rPr>
          <w:sz w:val="21"/>
        </w:rPr>
        <w:t>单位内配送的，所有后果及经济损失由</w:t>
      </w:r>
      <w:r>
        <w:rPr>
          <w:sz w:val="21"/>
        </w:rPr>
        <w:t>乙方</w:t>
      </w:r>
      <w:r>
        <w:rPr>
          <w:sz w:val="21"/>
        </w:rPr>
        <w:t>自行承担。</w:t>
      </w:r>
    </w:p>
    <w:tbl>
      <w:tblPr>
        <w:tblW w:w="0" w:type="auto"/>
        <w:tblBorders>
          <w:top w:val="none" w:color="000000" w:sz="4"/>
          <w:left w:val="none" w:color="000000" w:sz="4"/>
          <w:bottom w:val="none" w:color="000000" w:sz="4"/>
          <w:right w:val="none" w:color="000000" w:sz="4"/>
          <w:insideH w:val="none"/>
          <w:insideV w:val="none"/>
        </w:tblBorders>
      </w:tblPr>
      <w:tblGrid>
        <w:gridCol w:w="825"/>
        <w:gridCol w:w="1605"/>
        <w:gridCol w:w="1470"/>
        <w:gridCol w:w="1875"/>
        <w:gridCol w:w="1275"/>
        <w:gridCol w:w="810"/>
      </w:tblGrid>
      <w:tr>
        <w:tc>
          <w:tcPr>
            <w:tcW w:type="dxa" w:w="82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605"/>
            <w:tcBorders>
              <w:top w:val="single" w:color="000000" w:sz="4"/>
              <w:left w:val="single" w:color="000000" w:sz="4"/>
              <w:bottom w:val="single" w:color="000000" w:sz="4"/>
              <w:right w:val="single" w:color="000000" w:sz="4"/>
            </w:tcBorders>
            <w:vAlign w:val="top"/>
          </w:tcPr>
          <w:p>
            <w:pPr>
              <w:jc w:val="center"/>
            </w:pPr>
            <w:r>
              <w:rPr>
                <w:sz w:val="21"/>
              </w:rPr>
              <w:t>运送人员</w:t>
            </w:r>
          </w:p>
        </w:tc>
        <w:tc>
          <w:tcPr>
            <w:tcW w:type="dxa" w:w="1470"/>
            <w:tcBorders>
              <w:top w:val="single" w:color="000000" w:sz="4"/>
              <w:left w:val="single" w:color="000000" w:sz="4"/>
              <w:bottom w:val="single" w:color="000000" w:sz="4"/>
              <w:right w:val="single" w:color="000000" w:sz="4"/>
            </w:tcBorders>
            <w:vAlign w:val="top"/>
          </w:tcPr>
          <w:p>
            <w:pPr>
              <w:jc w:val="center"/>
            </w:pPr>
            <w:r>
              <w:rPr>
                <w:sz w:val="21"/>
              </w:rPr>
              <w:t>联系电话</w:t>
            </w:r>
          </w:p>
        </w:tc>
        <w:tc>
          <w:tcPr>
            <w:tcW w:type="dxa" w:w="1875"/>
            <w:tcBorders>
              <w:top w:val="single" w:color="000000" w:sz="4"/>
              <w:left w:val="single" w:color="000000" w:sz="4"/>
              <w:bottom w:val="single" w:color="000000" w:sz="4"/>
              <w:right w:val="single" w:color="000000" w:sz="4"/>
            </w:tcBorders>
            <w:vAlign w:val="top"/>
          </w:tcPr>
          <w:p>
            <w:pPr>
              <w:jc w:val="center"/>
            </w:pPr>
            <w:r>
              <w:rPr>
                <w:sz w:val="21"/>
              </w:rPr>
              <w:t>身份证号码</w:t>
            </w:r>
          </w:p>
        </w:tc>
        <w:tc>
          <w:tcPr>
            <w:tcW w:type="dxa" w:w="1275"/>
            <w:tcBorders>
              <w:top w:val="single" w:color="000000" w:sz="4"/>
              <w:left w:val="single" w:color="000000" w:sz="4"/>
              <w:bottom w:val="single" w:color="000000" w:sz="4"/>
              <w:right w:val="single" w:color="000000" w:sz="4"/>
            </w:tcBorders>
            <w:vAlign w:val="top"/>
          </w:tcPr>
          <w:p>
            <w:pPr>
              <w:jc w:val="center"/>
            </w:pPr>
            <w:r>
              <w:rPr>
                <w:sz w:val="21"/>
              </w:rPr>
              <w:t>健康证号</w:t>
            </w:r>
          </w:p>
        </w:tc>
        <w:tc>
          <w:tcPr>
            <w:tcW w:type="dxa" w:w="810"/>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8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05"/>
            <w:tcBorders>
              <w:top w:val="none" w:color="000000" w:sz="4"/>
              <w:left w:val="single" w:color="000000" w:sz="4"/>
              <w:bottom w:val="single" w:color="000000" w:sz="4"/>
              <w:right w:val="single" w:color="000000" w:sz="4"/>
            </w:tcBorders>
            <w:vAlign w:val="top"/>
          </w:tcPr>
          <w:p>
            <w:pPr>
              <w:jc w:val="center"/>
            </w:pPr>
          </w:p>
        </w:tc>
        <w:tc>
          <w:tcPr>
            <w:tcW w:type="dxa" w:w="1470"/>
            <w:tcBorders>
              <w:top w:val="none" w:color="000000" w:sz="4"/>
              <w:left w:val="single" w:color="000000" w:sz="4"/>
              <w:bottom w:val="single" w:color="000000" w:sz="4"/>
              <w:right w:val="single" w:color="000000" w:sz="4"/>
            </w:tcBorders>
            <w:vAlign w:val="top"/>
          </w:tcPr>
          <w:p>
            <w:pPr>
              <w:jc w:val="center"/>
            </w:pPr>
          </w:p>
        </w:tc>
        <w:tc>
          <w:tcPr>
            <w:tcW w:type="dxa" w:w="1875"/>
            <w:tcBorders>
              <w:top w:val="none" w:color="000000" w:sz="4"/>
              <w:left w:val="single" w:color="000000" w:sz="4"/>
              <w:bottom w:val="single" w:color="000000" w:sz="4"/>
              <w:right w:val="single" w:color="000000" w:sz="4"/>
            </w:tcBorders>
            <w:vAlign w:val="top"/>
          </w:tcPr>
          <w:p>
            <w:pPr>
              <w:jc w:val="center"/>
            </w:pP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810"/>
            <w:tcBorders>
              <w:top w:val="none" w:color="000000" w:sz="4"/>
              <w:left w:val="single" w:color="000000" w:sz="4"/>
              <w:bottom w:val="single" w:color="000000" w:sz="4"/>
              <w:right w:val="single" w:color="000000" w:sz="4"/>
            </w:tcBorders>
            <w:vAlign w:val="top"/>
          </w:tcPr>
          <w:p>
            <w:pPr>
              <w:jc w:val="center"/>
            </w:pPr>
          </w:p>
        </w:tc>
      </w:tr>
      <w:tr>
        <w:tc>
          <w:tcPr>
            <w:tcW w:type="dxa" w:w="8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05"/>
            <w:tcBorders>
              <w:top w:val="none" w:color="000000" w:sz="4"/>
              <w:left w:val="single" w:color="000000" w:sz="4"/>
              <w:bottom w:val="single" w:color="000000" w:sz="4"/>
              <w:right w:val="single" w:color="000000" w:sz="4"/>
            </w:tcBorders>
            <w:vAlign w:val="top"/>
          </w:tcPr>
          <w:p>
            <w:pPr>
              <w:jc w:val="center"/>
            </w:pPr>
          </w:p>
        </w:tc>
        <w:tc>
          <w:tcPr>
            <w:tcW w:type="dxa" w:w="1470"/>
            <w:tcBorders>
              <w:top w:val="none" w:color="000000" w:sz="4"/>
              <w:left w:val="single" w:color="000000" w:sz="4"/>
              <w:bottom w:val="single" w:color="000000" w:sz="4"/>
              <w:right w:val="single" w:color="000000" w:sz="4"/>
            </w:tcBorders>
            <w:vAlign w:val="top"/>
          </w:tcPr>
          <w:p>
            <w:pPr>
              <w:jc w:val="center"/>
            </w:pPr>
          </w:p>
        </w:tc>
        <w:tc>
          <w:tcPr>
            <w:tcW w:type="dxa" w:w="1875"/>
            <w:tcBorders>
              <w:top w:val="none" w:color="000000" w:sz="4"/>
              <w:left w:val="single" w:color="000000" w:sz="4"/>
              <w:bottom w:val="single" w:color="000000" w:sz="4"/>
              <w:right w:val="single" w:color="000000" w:sz="4"/>
            </w:tcBorders>
            <w:vAlign w:val="top"/>
          </w:tcPr>
          <w:p>
            <w:pPr>
              <w:jc w:val="center"/>
            </w:pP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810"/>
            <w:tcBorders>
              <w:top w:val="none" w:color="000000" w:sz="4"/>
              <w:left w:val="single" w:color="000000" w:sz="4"/>
              <w:bottom w:val="single" w:color="000000" w:sz="4"/>
              <w:right w:val="single" w:color="000000" w:sz="4"/>
            </w:tcBorders>
            <w:vAlign w:val="top"/>
          </w:tcPr>
          <w:p>
            <w:pPr>
              <w:jc w:val="center"/>
            </w:pPr>
          </w:p>
        </w:tc>
      </w:tr>
      <w:tr>
        <w:tc>
          <w:tcPr>
            <w:tcW w:type="dxa" w:w="82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605"/>
            <w:tcBorders>
              <w:top w:val="none" w:color="000000" w:sz="4"/>
              <w:left w:val="single" w:color="000000" w:sz="4"/>
              <w:bottom w:val="single" w:color="000000" w:sz="4"/>
              <w:right w:val="single" w:color="000000" w:sz="4"/>
            </w:tcBorders>
            <w:vAlign w:val="top"/>
          </w:tcPr>
          <w:p>
            <w:pPr>
              <w:jc w:val="center"/>
            </w:pPr>
          </w:p>
        </w:tc>
        <w:tc>
          <w:tcPr>
            <w:tcW w:type="dxa" w:w="1470"/>
            <w:tcBorders>
              <w:top w:val="none" w:color="000000" w:sz="4"/>
              <w:left w:val="single" w:color="000000" w:sz="4"/>
              <w:bottom w:val="single" w:color="000000" w:sz="4"/>
              <w:right w:val="single" w:color="000000" w:sz="4"/>
            </w:tcBorders>
            <w:vAlign w:val="top"/>
          </w:tcPr>
          <w:p>
            <w:pPr>
              <w:jc w:val="center"/>
            </w:pPr>
          </w:p>
        </w:tc>
        <w:tc>
          <w:tcPr>
            <w:tcW w:type="dxa" w:w="1875"/>
            <w:tcBorders>
              <w:top w:val="none" w:color="000000" w:sz="4"/>
              <w:left w:val="single" w:color="000000" w:sz="4"/>
              <w:bottom w:val="single" w:color="000000" w:sz="4"/>
              <w:right w:val="single" w:color="000000" w:sz="4"/>
            </w:tcBorders>
            <w:vAlign w:val="top"/>
          </w:tcPr>
          <w:p>
            <w:pPr>
              <w:jc w:val="center"/>
            </w:pP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810"/>
            <w:tcBorders>
              <w:top w:val="none" w:color="000000" w:sz="4"/>
              <w:left w:val="single" w:color="000000" w:sz="4"/>
              <w:bottom w:val="single" w:color="000000" w:sz="4"/>
              <w:right w:val="single" w:color="000000" w:sz="4"/>
            </w:tcBorders>
            <w:vAlign w:val="top"/>
          </w:tcPr>
          <w:p>
            <w:pPr>
              <w:jc w:val="center"/>
            </w:pPr>
          </w:p>
        </w:tc>
      </w:tr>
    </w:tbl>
    <w:p>
      <w:pPr>
        <w:ind w:firstLine="420"/>
        <w:jc w:val="both"/>
      </w:pPr>
      <w:r>
        <w:rPr>
          <w:sz w:val="21"/>
        </w:rPr>
        <w:t>合同后附以上人员劳动合同、近三个月社保证明、健康证以及运送人员的《无违法犯罪记录证明》复印件。</w:t>
      </w:r>
    </w:p>
    <w:p>
      <w:pPr>
        <w:ind w:firstLine="420"/>
        <w:jc w:val="both"/>
      </w:pPr>
      <w:r>
        <w:rPr>
          <w:sz w:val="21"/>
        </w:rPr>
        <w:t>（七）乙方必须明确配送车辆的情况，由于甲方单位特殊，配送车辆进入甲方单位必须办理《出入证》，相关配送车辆的资料须在甲方处进行备案，第一年合同期内不得更换车辆。如遇不可抗力必须更换，则须事先征得甲方同意之后才能更换，且一年内不得超过两次。</w:t>
      </w:r>
    </w:p>
    <w:p>
      <w:pPr>
        <w:ind w:firstLine="420"/>
        <w:jc w:val="both"/>
      </w:pPr>
      <w:r>
        <w:rPr>
          <w:sz w:val="21"/>
        </w:rPr>
        <w:t>（八）乙方除不可抗力，不得因其他任何理由延迟配送。甲方如遇特殊情况需推迟配送，应提前通知乙方。因乙方原因延误配送日期的（甲方要求推迟的除外），甲方有权自行采购，并由乙方承担由此产生的一切损失和费用。</w:t>
      </w:r>
    </w:p>
    <w:p>
      <w:pPr>
        <w:ind w:firstLine="420"/>
        <w:jc w:val="both"/>
      </w:pPr>
      <w:r>
        <w:rPr>
          <w:sz w:val="21"/>
        </w:rPr>
        <w:t>（九）甲方对食材进行认真验收，对不符合规格要求的食材，乙方必须无条件退货。乙方未能履行招标文件和合同所定事项</w:t>
      </w:r>
      <w:r>
        <w:rPr>
          <w:sz w:val="21"/>
        </w:rPr>
        <w:t>, 或配送不合格的、假冒伪劣、以次充好的商品、或配送时的食材与中标时的食材不符，甲方退货后将记录在案，并对乙方予以处罚，除要承担因此产生的一切损失和费用外，情节严重的可取消其配送资格。</w:t>
      </w:r>
    </w:p>
    <w:p>
      <w:pPr>
        <w:ind w:firstLine="420"/>
        <w:jc w:val="both"/>
      </w:pPr>
      <w:r>
        <w:rPr>
          <w:sz w:val="21"/>
        </w:rPr>
        <w:t>（十）食品溯源要求：对食品供应链进行明确，所有食品的来源必须清晰，包装食品要有</w:t>
      </w:r>
      <w:r>
        <w:rPr>
          <w:sz w:val="21"/>
        </w:rPr>
        <w:t>SC开头的生产许可证编号。食品生产企业必须获得工业产品生产许可证来源应当是受到地方政府部门监管的业流通市场或具有相关资质的厂家生产，生产食品的源头与乙方要有固定的合法的供应关系，严禁收购非标准产品配送。验收须按国家标准和行业标准。乙方应保存以下资料：</w:t>
      </w:r>
    </w:p>
    <w:p>
      <w:pPr>
        <w:ind w:firstLine="420"/>
        <w:jc w:val="both"/>
      </w:pPr>
      <w:r>
        <w:rPr>
          <w:sz w:val="21"/>
        </w:rPr>
        <w:t>1.乙方与生产企业的销售合同；</w:t>
      </w:r>
    </w:p>
    <w:p>
      <w:pPr>
        <w:ind w:firstLine="420"/>
        <w:jc w:val="both"/>
      </w:pPr>
      <w:r>
        <w:rPr>
          <w:sz w:val="21"/>
        </w:rPr>
        <w:t>2.生产企业的送货单和销售发票；</w:t>
      </w:r>
    </w:p>
    <w:p>
      <w:pPr>
        <w:ind w:firstLine="420"/>
        <w:jc w:val="both"/>
      </w:pPr>
      <w:r>
        <w:rPr>
          <w:sz w:val="21"/>
        </w:rPr>
        <w:t>3.乙方与甲方的采购合同及送货单据、销售发票。</w:t>
      </w:r>
    </w:p>
    <w:p>
      <w:pPr>
        <w:ind w:firstLine="420"/>
        <w:jc w:val="both"/>
      </w:pPr>
      <w:r>
        <w:rPr>
          <w:sz w:val="21"/>
        </w:rPr>
        <w:t>（十一）验收时需提供：生产企业方与乙方的销售合同、生产企业方的送货单和销售发票、供应商与甲方的采购合同及送货单据及销售发票等。</w:t>
      </w:r>
    </w:p>
    <w:p>
      <w:pPr>
        <w:ind w:firstLine="420"/>
        <w:jc w:val="both"/>
      </w:pPr>
      <w:r>
        <w:rPr>
          <w:sz w:val="21"/>
        </w:rPr>
        <w:t>（十二）甲方根据实际需要提前（以合同约定时间为准）以传真方式将下周需求通知乙方，乙方在接到通知后备齐食材，按时送抵交货地点。乙方不能按时、保质、保量供货，由甲方自行采购，并承担甲方由此造成的经济损失和接受违约处罚。</w:t>
      </w:r>
    </w:p>
    <w:p>
      <w:pPr>
        <w:jc w:val="both"/>
      </w:pPr>
      <w:r>
        <w:rPr>
          <w:b/>
          <w:sz w:val="21"/>
        </w:rPr>
        <w:t>七、</w:t>
      </w:r>
      <w:r>
        <w:rPr>
          <w:b/>
          <w:sz w:val="21"/>
        </w:rPr>
        <w:t>服务期间（项目完成期限）</w:t>
      </w:r>
    </w:p>
    <w:p>
      <w:pPr>
        <w:jc w:val="both"/>
      </w:pPr>
      <w:r>
        <w:rPr>
          <w:color w:val="222222"/>
          <w:sz w:val="21"/>
        </w:rPr>
        <w:t>供货服务期</w:t>
      </w:r>
      <w:r>
        <w:rPr>
          <w:sz w:val="21"/>
        </w:rPr>
        <w:t>2年，</w:t>
      </w:r>
      <w:r>
        <w:rPr>
          <w:color w:val="222222"/>
          <w:sz w:val="21"/>
        </w:rPr>
        <w:t>委托服务期间自</w:t>
      </w:r>
      <w:r>
        <w:rPr>
          <w:color w:val="222222"/>
          <w:sz w:val="21"/>
        </w:rPr>
        <w:t>______年______月至______年______月止。</w:t>
      </w:r>
    </w:p>
    <w:p>
      <w:pPr>
        <w:jc w:val="both"/>
      </w:pPr>
      <w:r>
        <w:rPr>
          <w:b/>
          <w:sz w:val="21"/>
        </w:rPr>
        <w:t>八</w:t>
      </w:r>
      <w:r>
        <w:rPr>
          <w:b/>
          <w:sz w:val="21"/>
        </w:rPr>
        <w:t>、付款方式</w:t>
      </w:r>
    </w:p>
    <w:p>
      <w:pPr>
        <w:ind w:firstLine="420"/>
        <w:jc w:val="both"/>
      </w:pPr>
      <w:r>
        <w:rPr>
          <w:color w:val="222222"/>
          <w:sz w:val="21"/>
        </w:rPr>
        <w:t>1.</w:t>
      </w:r>
      <w:r>
        <w:rPr>
          <w:color w:val="222222"/>
          <w:sz w:val="21"/>
        </w:rPr>
        <w:t>乙方</w:t>
      </w:r>
      <w:r>
        <w:rPr>
          <w:color w:val="222222"/>
          <w:sz w:val="21"/>
        </w:rPr>
        <w:t>货款按月度进行结算，于次月</w:t>
      </w:r>
      <w:r>
        <w:rPr>
          <w:color w:val="222222"/>
          <w:sz w:val="21"/>
        </w:rPr>
        <w:t>10日前凭国家正式发票向</w:t>
      </w:r>
      <w:r>
        <w:rPr>
          <w:color w:val="222222"/>
          <w:sz w:val="21"/>
        </w:rPr>
        <w:t>甲方</w:t>
      </w:r>
      <w:r>
        <w:rPr>
          <w:color w:val="222222"/>
          <w:sz w:val="21"/>
        </w:rPr>
        <w:t>申请付款，</w:t>
      </w:r>
      <w:r>
        <w:rPr>
          <w:color w:val="222222"/>
          <w:sz w:val="21"/>
        </w:rPr>
        <w:t>甲方</w:t>
      </w:r>
      <w:r>
        <w:rPr>
          <w:color w:val="222222"/>
          <w:sz w:val="21"/>
        </w:rPr>
        <w:t>收到申请后在</w:t>
      </w:r>
      <w:r>
        <w:rPr>
          <w:color w:val="222222"/>
          <w:sz w:val="21"/>
        </w:rPr>
        <w:t>10个工作天内按实支付上月结算货款给</w:t>
      </w:r>
      <w:r>
        <w:rPr>
          <w:color w:val="222222"/>
          <w:sz w:val="21"/>
        </w:rPr>
        <w:t>乙方</w:t>
      </w:r>
      <w:r>
        <w:rPr>
          <w:color w:val="222222"/>
          <w:sz w:val="21"/>
        </w:rPr>
        <w:t>（遇节假日顺延），每月的结算金额＝（汇总各类配送食材）每日的结算金额合计</w:t>
      </w:r>
      <w:r>
        <w:rPr>
          <w:color w:val="222222"/>
          <w:sz w:val="21"/>
        </w:rPr>
        <w:t>-扣罚款合计（如有）。</w:t>
      </w:r>
    </w:p>
    <w:p>
      <w:pPr>
        <w:ind w:firstLine="420"/>
        <w:jc w:val="both"/>
      </w:pPr>
      <w:r>
        <w:rPr>
          <w:color w:val="222222"/>
          <w:sz w:val="21"/>
        </w:rPr>
        <w:t>2.每期货款的结算，需由</w:t>
      </w:r>
      <w:r>
        <w:rPr>
          <w:color w:val="222222"/>
          <w:sz w:val="21"/>
        </w:rPr>
        <w:t>乙方</w:t>
      </w:r>
      <w:r>
        <w:rPr>
          <w:color w:val="222222"/>
          <w:sz w:val="21"/>
        </w:rPr>
        <w:t>提出书面申请并提供该期货款相应金额的发票及该期货物确认收货确认清单（加盖</w:t>
      </w:r>
      <w:r>
        <w:rPr>
          <w:color w:val="222222"/>
          <w:sz w:val="21"/>
        </w:rPr>
        <w:t>甲方</w:t>
      </w:r>
      <w:r>
        <w:rPr>
          <w:color w:val="222222"/>
          <w:sz w:val="21"/>
        </w:rPr>
        <w:t>公章），</w:t>
      </w:r>
      <w:r>
        <w:rPr>
          <w:color w:val="222222"/>
          <w:sz w:val="21"/>
        </w:rPr>
        <w:t>甲方</w:t>
      </w:r>
      <w:r>
        <w:rPr>
          <w:color w:val="222222"/>
          <w:sz w:val="21"/>
        </w:rPr>
        <w:t>办理支付手续。</w:t>
      </w:r>
    </w:p>
    <w:p>
      <w:pPr>
        <w:ind w:firstLine="420"/>
        <w:jc w:val="both"/>
      </w:pPr>
      <w:r>
        <w:rPr>
          <w:color w:val="222222"/>
          <w:sz w:val="21"/>
        </w:rPr>
        <w:t>备注：</w:t>
      </w:r>
      <w:r>
        <w:rPr>
          <w:color w:val="222222"/>
          <w:sz w:val="21"/>
        </w:rPr>
        <w:t>1）合同款项的支付完毕并不意味着合同权利义务履行的结束，乙方仍需按合同要求做好后续服务工作，如乙方违反合同相关规定，需按甲方要求缴纳违约金（违约金金额累计上限为合同总价的10%）。2）付款方：甲方；收款方：乙方。3）开具发票：乙方收款时必须持有效发票。收款方、出具发票方、合同乙方均必须与乙方名称一致。4）因甲方使用的是财政资金，参与乙方即视为充分理解政府部门预算管理的相关程序及要求，若相关预算进行调整，甲方可按照相关预算的情况与乙方对合同内容进行变更，甲方不承担因延期拨付或合同内容变更给乙方造成的各类损失，如利息、连带责任等。5）付款期间如因特殊情况需调整，由双方协商处理。</w:t>
      </w:r>
    </w:p>
    <w:p>
      <w:pPr>
        <w:jc w:val="both"/>
      </w:pPr>
      <w:r>
        <w:rPr>
          <w:b/>
          <w:sz w:val="21"/>
        </w:rPr>
        <w:t>九、结算要求</w:t>
      </w:r>
    </w:p>
    <w:p>
      <w:pPr>
        <w:ind w:firstLine="420"/>
        <w:jc w:val="both"/>
      </w:pPr>
      <w:r>
        <w:rPr>
          <w:color w:val="222222"/>
          <w:sz w:val="21"/>
        </w:rPr>
        <w:t>1.甲方与乙方来往款项支付均以人民币转账方式；</w:t>
      </w:r>
    </w:p>
    <w:p>
      <w:pPr>
        <w:ind w:firstLine="420"/>
        <w:jc w:val="both"/>
      </w:pPr>
      <w:r>
        <w:rPr>
          <w:color w:val="222222"/>
          <w:sz w:val="21"/>
        </w:rPr>
        <w:t>2.乙方完成当月供货订单后，于次月10日前凭国家正式发票向甲方申请付款，甲方收到申请后在10个工作天内结清当月所有货款。</w:t>
      </w:r>
    </w:p>
    <w:p>
      <w:pPr>
        <w:ind w:firstLine="420"/>
        <w:jc w:val="both"/>
      </w:pPr>
      <w:r>
        <w:rPr>
          <w:color w:val="222222"/>
          <w:sz w:val="21"/>
        </w:rPr>
        <w:t>3.《菜篮子项目》清单以佛山市发展和改革局官网上公布的佛山市五区农副产品市场零售价格表，取三水区上个月5号、15号、25号的价格形成价格均值表(如报价出现小数点，四舍五入保留小数点后两位），如以上日期无公布价格则顺延至有价格的第一天，以均值表中的单价作为基准价，实际结算价格=基准价×中标折扣率×食材数量。</w:t>
      </w:r>
    </w:p>
    <w:p>
      <w:pPr>
        <w:ind w:firstLine="420"/>
        <w:jc w:val="both"/>
      </w:pPr>
      <w:r>
        <w:rPr>
          <w:color w:val="222222"/>
          <w:sz w:val="21"/>
        </w:rPr>
        <w:t>4.《菜篮子项目》清单未公布或无价格的食材，则以《常用食材及副食品项目》清单中的最高限价为基准价，实际结算价格=基准价×中标折扣率×食材数量。若《常用食材及副食品项目》清单没有但需进行采购的食材，则进行市场调查以三家供应商以上（含三家）的平均价或最低价确定基准价，实际结算价格=基准价×中标折扣率×食材数量。</w:t>
      </w:r>
    </w:p>
    <w:p>
      <w:pPr>
        <w:jc w:val="both"/>
      </w:pPr>
      <w:r>
        <w:rPr>
          <w:b/>
          <w:sz w:val="21"/>
        </w:rPr>
        <w:t>十</w:t>
      </w:r>
      <w:r>
        <w:rPr>
          <w:b/>
          <w:sz w:val="21"/>
        </w:rPr>
        <w:t>、</w:t>
      </w:r>
      <w:r>
        <w:rPr>
          <w:b/>
          <w:sz w:val="21"/>
        </w:rPr>
        <w:t>食材配送内容</w:t>
      </w:r>
    </w:p>
    <w:p>
      <w:pPr>
        <w:ind w:firstLine="420"/>
        <w:jc w:val="both"/>
      </w:pPr>
      <w:r>
        <w:rPr>
          <w:color w:val="222222"/>
          <w:sz w:val="21"/>
        </w:rPr>
        <w:t>1.《菜篮子项目》清单：《菜篮子项目》清单中的品种的最高单价限价为佛山市发展和改革局官网上公布的佛山市五区农副产品市场零售价格表，取三水区上个月5号、15号、25号的价格形成价格均值表的单价作为基准价。</w:t>
      </w:r>
    </w:p>
    <w:p>
      <w:pPr>
        <w:ind w:firstLine="420"/>
        <w:jc w:val="both"/>
      </w:pPr>
      <w:r>
        <w:rPr>
          <w:color w:val="222222"/>
          <w:sz w:val="21"/>
        </w:rPr>
        <w:t>2.《常用食材及副食品项目》清单：以清单内食材的最高限价作为基准价。</w:t>
      </w:r>
      <w:r>
        <w:rPr>
          <w:b/>
          <w:sz w:val="21"/>
        </w:rPr>
        <w:t>（详</w:t>
      </w:r>
      <w:r>
        <w:rPr>
          <w:b/>
          <w:sz w:val="21"/>
        </w:rPr>
        <w:t>见附件</w:t>
      </w:r>
      <w:r>
        <w:rPr>
          <w:b/>
          <w:sz w:val="21"/>
        </w:rPr>
        <w:t>）</w:t>
      </w:r>
    </w:p>
    <w:p>
      <w:pPr>
        <w:jc w:val="both"/>
      </w:pPr>
      <w:r>
        <w:rPr>
          <w:b/>
          <w:sz w:val="21"/>
        </w:rPr>
        <w:t>十一</w:t>
      </w:r>
      <w:r>
        <w:rPr>
          <w:b/>
          <w:sz w:val="21"/>
        </w:rPr>
        <w:t>、价格调整</w:t>
      </w:r>
    </w:p>
    <w:p>
      <w:pPr>
        <w:ind w:firstLine="420"/>
        <w:jc w:val="both"/>
      </w:pPr>
      <w:r>
        <w:rPr>
          <w:color w:val="222222"/>
          <w:sz w:val="21"/>
        </w:rPr>
        <w:t>1.本项目中的《菜篮子项目》清单价格不作调整。</w:t>
      </w:r>
    </w:p>
    <w:p>
      <w:pPr>
        <w:ind w:firstLine="420"/>
        <w:jc w:val="both"/>
      </w:pPr>
      <w:r>
        <w:rPr>
          <w:color w:val="222222"/>
          <w:sz w:val="21"/>
        </w:rPr>
        <w:t>2.《常用食材及副食品项目》清单中的食材价格在合同履行前6个月以及合同履行结束前6个月，价格不作调整。从第7个月起至第18个月期间，根据市场价格的变化，如市场食材价格与食材最高限价对比上下浮动超过15%（含），双方可就结算价格提出变动意见，经双方友好协商同意后由甲方进行市场调查以三家供应商以上（含三家）的平均价或最低价确定基准价，实际结算价格=基准价×中标折扣率×食材数量。（从第7个月起可调整价格，每次调整价格间隔不少于六个月）</w:t>
      </w:r>
    </w:p>
    <w:p>
      <w:pPr>
        <w:jc w:val="both"/>
      </w:pPr>
      <w:r>
        <w:rPr>
          <w:b/>
          <w:sz w:val="21"/>
        </w:rPr>
        <w:t>十二</w:t>
      </w:r>
      <w:r>
        <w:rPr>
          <w:b/>
          <w:sz w:val="21"/>
        </w:rPr>
        <w:t>、</w:t>
      </w:r>
      <w:r>
        <w:rPr>
          <w:b/>
          <w:sz w:val="21"/>
        </w:rPr>
        <w:t>验收要求</w:t>
      </w:r>
    </w:p>
    <w:p>
      <w:pPr>
        <w:ind w:firstLine="420"/>
        <w:jc w:val="both"/>
      </w:pPr>
      <w:r>
        <w:rPr>
          <w:color w:val="222222"/>
          <w:sz w:val="21"/>
        </w:rPr>
        <w:t>1</w:t>
      </w:r>
      <w:r>
        <w:rPr>
          <w:color w:val="222222"/>
          <w:sz w:val="21"/>
        </w:rPr>
        <w:t>.</w:t>
      </w:r>
      <w:r>
        <w:rPr>
          <w:color w:val="222222"/>
          <w:sz w:val="21"/>
        </w:rPr>
        <w:t>冻肉类食材验收发现问题时的处理办法：按上述质量描述对食材质量进行抽查。</w:t>
      </w:r>
    </w:p>
    <w:p>
      <w:pPr>
        <w:ind w:firstLine="420"/>
        <w:jc w:val="both"/>
      </w:pPr>
      <w:r>
        <w:rPr>
          <w:color w:val="222222"/>
          <w:sz w:val="21"/>
        </w:rPr>
        <w:t>2</w:t>
      </w:r>
      <w:r>
        <w:rPr>
          <w:color w:val="222222"/>
          <w:sz w:val="21"/>
        </w:rPr>
        <w:t>.</w:t>
      </w:r>
      <w:r>
        <w:rPr>
          <w:color w:val="222222"/>
          <w:sz w:val="21"/>
        </w:rPr>
        <w:t>抽查发现食品安全质量问题的处理：对危及人身安全的食材质量问题采取零容忍措施，一经发现，当日所送同批次食材全部退货，如水产品中发现河豚鱼，发现腐败变质肉类等。若抽查未发现问题，而在加工食用前发现部分产品质量问题，应立即通知单位伙食物资验收小组及</w:t>
      </w:r>
      <w:r>
        <w:rPr>
          <w:color w:val="222222"/>
          <w:sz w:val="21"/>
        </w:rPr>
        <w:t>乙方</w:t>
      </w:r>
      <w:r>
        <w:rPr>
          <w:color w:val="222222"/>
          <w:sz w:val="21"/>
        </w:rPr>
        <w:t>，将问题食材退货处理。</w:t>
      </w:r>
    </w:p>
    <w:p>
      <w:pPr>
        <w:ind w:firstLine="420"/>
        <w:jc w:val="both"/>
      </w:pPr>
      <w:r>
        <w:rPr>
          <w:color w:val="222222"/>
          <w:sz w:val="21"/>
        </w:rPr>
        <w:t>3</w:t>
      </w:r>
      <w:r>
        <w:rPr>
          <w:color w:val="222222"/>
          <w:sz w:val="21"/>
        </w:rPr>
        <w:t>.</w:t>
      </w:r>
      <w:r>
        <w:rPr>
          <w:color w:val="222222"/>
          <w:sz w:val="21"/>
        </w:rPr>
        <w:t>抽查发现资质证照不全问题的处理：整批食材无政府部门出具的动植物检疫合格证明的全部退货；</w:t>
      </w:r>
    </w:p>
    <w:p>
      <w:pPr>
        <w:ind w:firstLine="420"/>
        <w:jc w:val="both"/>
      </w:pPr>
      <w:r>
        <w:rPr>
          <w:color w:val="222222"/>
          <w:sz w:val="21"/>
        </w:rPr>
        <w:t>抽查发现部分食材无政府部门出具的动植物检疫合格证明，加抽</w:t>
      </w:r>
      <w:r>
        <w:rPr>
          <w:color w:val="222222"/>
          <w:sz w:val="21"/>
        </w:rPr>
        <w:t>15%，两次抽查数50%以上没有动植物检疫合格证明的，全部退货；50%以下没有动植物检疫合格证明的，将无动植物检疫合格证明的食材退货；整批产品有省地市出具的动植物检疫合格证明，随箱食材合格证不齐全的，加抽15%，两次抽查数50%以上没有产品合格证的，全部退货；50%以下没有食材合格证明的，将无产品食材证明的食材退货；肉制品无疾病控制或质量技术监督部门出具的同类食材半年内有效检验报告，作退货处理；随箱食材合格证不齐全的，加抽15%，两次抽查数50%以上没有食材合格证的，全部退货；50%以下没有食材合格证明的，将无食材合格证明的食材退货。</w:t>
      </w:r>
    </w:p>
    <w:p>
      <w:pPr>
        <w:ind w:firstLine="420"/>
        <w:jc w:val="both"/>
      </w:pPr>
      <w:r>
        <w:rPr>
          <w:color w:val="222222"/>
          <w:sz w:val="21"/>
        </w:rPr>
        <w:t>4</w:t>
      </w:r>
      <w:r>
        <w:rPr>
          <w:color w:val="222222"/>
          <w:sz w:val="21"/>
        </w:rPr>
        <w:t>.</w:t>
      </w:r>
      <w:r>
        <w:rPr>
          <w:color w:val="222222"/>
          <w:sz w:val="21"/>
        </w:rPr>
        <w:t>食材重量验收：</w:t>
      </w:r>
    </w:p>
    <w:p>
      <w:pPr>
        <w:ind w:firstLine="420"/>
        <w:jc w:val="both"/>
      </w:pPr>
      <w:r>
        <w:rPr>
          <w:color w:val="222222"/>
          <w:sz w:val="21"/>
        </w:rPr>
        <w:t>4.1冻肉类：双方各随机抽取每品种货物一箱，去包装，在流动的10-25℃清水中浸泡解冻至表面冰层融化，个体能够分离为止，充分摊开食材沥水三分钟后称重，取双方抽取样本均值为该食材本批次食材的验收重量。</w:t>
      </w:r>
    </w:p>
    <w:p>
      <w:pPr>
        <w:ind w:firstLine="420"/>
        <w:jc w:val="both"/>
      </w:pPr>
      <w:r>
        <w:rPr>
          <w:color w:val="222222"/>
          <w:sz w:val="21"/>
        </w:rPr>
        <w:t>4.2水产类：双方各随机抽取每品种食材两箱，去包装，在流动的10-25℃清水中浸泡解冻至表面冰层融化，个体能够分离为止，充分摊开食材沥水三分钟后称重，取双方抽取样本均值为该食材本批次食材的验收重量。</w:t>
      </w:r>
    </w:p>
    <w:p>
      <w:pPr>
        <w:ind w:firstLine="420"/>
        <w:jc w:val="both"/>
      </w:pPr>
      <w:r>
        <w:rPr>
          <w:color w:val="222222"/>
          <w:sz w:val="21"/>
        </w:rPr>
        <w:t>4.3新鲜肉类、丸类、火腿、腊肠类等不含冰食材直接称重验收。</w:t>
      </w:r>
    </w:p>
    <w:p>
      <w:pPr>
        <w:ind w:firstLine="420"/>
        <w:jc w:val="both"/>
      </w:pPr>
      <w:r>
        <w:rPr>
          <w:color w:val="222222"/>
          <w:sz w:val="21"/>
        </w:rPr>
        <w:t>5</w:t>
      </w:r>
      <w:r>
        <w:rPr>
          <w:color w:val="222222"/>
          <w:sz w:val="21"/>
        </w:rPr>
        <w:t>.</w:t>
      </w:r>
      <w:r>
        <w:rPr>
          <w:color w:val="222222"/>
          <w:sz w:val="21"/>
        </w:rPr>
        <w:t>检验流程：</w:t>
      </w:r>
    </w:p>
    <w:p>
      <w:pPr>
        <w:ind w:firstLine="420"/>
        <w:jc w:val="both"/>
      </w:pPr>
      <w:r>
        <w:rPr>
          <w:color w:val="222222"/>
          <w:sz w:val="21"/>
        </w:rPr>
        <w:t>5.1一是要作好卸货前的检查。验收人员卸货前应对场地和验收设备做好准备，并对食材的外观质量进行初步了解。</w:t>
      </w:r>
    </w:p>
    <w:p>
      <w:pPr>
        <w:ind w:firstLine="420"/>
        <w:jc w:val="both"/>
      </w:pPr>
      <w:r>
        <w:rPr>
          <w:color w:val="222222"/>
          <w:sz w:val="21"/>
        </w:rPr>
        <w:t>5.2二是采取当场验收的方式，验收人必须认真检验食材的质量要求，按索证→过磅→入库的程序完成验收。</w:t>
      </w:r>
    </w:p>
    <w:p>
      <w:pPr>
        <w:ind w:firstLine="420"/>
        <w:jc w:val="both"/>
      </w:pPr>
      <w:r>
        <w:rPr>
          <w:color w:val="222222"/>
          <w:sz w:val="21"/>
        </w:rPr>
        <w:t>5.3三是必须进行抽查验收，抽查样本数视实际情况而定，一般不超过10%。</w:t>
      </w:r>
    </w:p>
    <w:p>
      <w:pPr>
        <w:ind w:firstLine="420"/>
        <w:jc w:val="both"/>
      </w:pPr>
      <w:r>
        <w:rPr>
          <w:color w:val="222222"/>
          <w:sz w:val="21"/>
        </w:rPr>
        <w:t>6</w:t>
      </w:r>
      <w:r>
        <w:rPr>
          <w:color w:val="222222"/>
          <w:sz w:val="21"/>
        </w:rPr>
        <w:t>.</w:t>
      </w:r>
      <w:r>
        <w:rPr>
          <w:color w:val="222222"/>
          <w:sz w:val="21"/>
        </w:rPr>
        <w:t>退（补）货流程：对不符合采购要求的食材由验收人员提出清退，退货前应实行留板备案，如双方对质量争议可送国家质监部门检测。对缺斤短两（或含水量超标）的应按实际重量扣减。出现退（补）货情况，应及时报告</w:t>
      </w:r>
      <w:r>
        <w:rPr>
          <w:color w:val="222222"/>
          <w:sz w:val="21"/>
        </w:rPr>
        <w:t>甲方</w:t>
      </w:r>
      <w:r>
        <w:rPr>
          <w:color w:val="222222"/>
          <w:sz w:val="21"/>
        </w:rPr>
        <w:t>。在退货过程中，对有碍公共卫生安全的蔬菜，应按国家有关规定处理或进行协议</w:t>
      </w:r>
      <w:r>
        <w:rPr>
          <w:color w:val="222222"/>
          <w:sz w:val="21"/>
        </w:rPr>
        <w:t>销毁，而不是退货给</w:t>
      </w:r>
      <w:r>
        <w:rPr>
          <w:color w:val="222222"/>
          <w:sz w:val="21"/>
        </w:rPr>
        <w:t>乙方</w:t>
      </w:r>
      <w:r>
        <w:rPr>
          <w:color w:val="222222"/>
          <w:sz w:val="21"/>
        </w:rPr>
        <w:t>，所产生的费用由</w:t>
      </w:r>
      <w:r>
        <w:rPr>
          <w:color w:val="222222"/>
          <w:sz w:val="21"/>
        </w:rPr>
        <w:t>乙方</w:t>
      </w:r>
      <w:r>
        <w:rPr>
          <w:color w:val="222222"/>
          <w:sz w:val="21"/>
        </w:rPr>
        <w:t>自行承担。</w:t>
      </w:r>
    </w:p>
    <w:p>
      <w:pPr>
        <w:ind w:firstLine="420"/>
        <w:jc w:val="both"/>
      </w:pPr>
      <w:r>
        <w:rPr>
          <w:color w:val="222222"/>
          <w:sz w:val="21"/>
        </w:rPr>
        <w:t>7</w:t>
      </w:r>
      <w:r>
        <w:rPr>
          <w:color w:val="222222"/>
          <w:sz w:val="21"/>
        </w:rPr>
        <w:t>.</w:t>
      </w:r>
      <w:r>
        <w:rPr>
          <w:color w:val="222222"/>
          <w:sz w:val="21"/>
        </w:rPr>
        <w:t>验收记录：每次采购的食材都要登记记录，注明名称、数量等事项并在采购登记记录上签明意见和验收人的名字及日期。</w:t>
      </w:r>
    </w:p>
    <w:p>
      <w:pPr>
        <w:jc w:val="both"/>
      </w:pPr>
      <w:r>
        <w:rPr>
          <w:b/>
          <w:sz w:val="21"/>
        </w:rPr>
        <w:t>十三</w:t>
      </w:r>
      <w:r>
        <w:rPr>
          <w:b/>
          <w:sz w:val="21"/>
        </w:rPr>
        <w:t>、违约责任与赔偿损失</w:t>
      </w:r>
    </w:p>
    <w:p>
      <w:pPr>
        <w:jc w:val="both"/>
      </w:pPr>
      <w:r>
        <w:rPr>
          <w:color w:val="222222"/>
          <w:sz w:val="21"/>
        </w:rPr>
        <w:t>1.发生以下情形，经调查属实的，扣除100元货款：</w:t>
      </w:r>
    </w:p>
    <w:p>
      <w:pPr>
        <w:jc w:val="both"/>
      </w:pPr>
      <w:r>
        <w:rPr>
          <w:color w:val="222222"/>
          <w:sz w:val="21"/>
        </w:rPr>
        <w:t>1.1未按要求随货提供相关票证；</w:t>
      </w:r>
    </w:p>
    <w:p>
      <w:pPr>
        <w:jc w:val="both"/>
      </w:pPr>
      <w:r>
        <w:rPr>
          <w:color w:val="222222"/>
          <w:sz w:val="21"/>
        </w:rPr>
        <w:t>1.2货物质量验收不合格；</w:t>
      </w:r>
    </w:p>
    <w:p>
      <w:pPr>
        <w:jc w:val="both"/>
      </w:pPr>
      <w:r>
        <w:rPr>
          <w:color w:val="222222"/>
          <w:sz w:val="21"/>
        </w:rPr>
        <w:t>1.3未按</w:t>
      </w:r>
      <w:r>
        <w:rPr>
          <w:color w:val="222222"/>
          <w:sz w:val="21"/>
        </w:rPr>
        <w:t>甲方</w:t>
      </w:r>
      <w:r>
        <w:rPr>
          <w:color w:val="222222"/>
          <w:sz w:val="21"/>
        </w:rPr>
        <w:t>采购计划的时间供货（提前一天与</w:t>
      </w:r>
      <w:r>
        <w:rPr>
          <w:color w:val="222222"/>
          <w:sz w:val="21"/>
        </w:rPr>
        <w:t>甲方</w:t>
      </w:r>
      <w:r>
        <w:rPr>
          <w:color w:val="222222"/>
          <w:sz w:val="21"/>
        </w:rPr>
        <w:t>协商除外）；</w:t>
      </w:r>
    </w:p>
    <w:p>
      <w:pPr>
        <w:jc w:val="both"/>
      </w:pPr>
      <w:r>
        <w:rPr>
          <w:color w:val="222222"/>
          <w:sz w:val="21"/>
        </w:rPr>
        <w:t>1.4供货数量仅为</w:t>
      </w:r>
      <w:r>
        <w:rPr>
          <w:color w:val="222222"/>
          <w:sz w:val="21"/>
        </w:rPr>
        <w:t>甲方</w:t>
      </w:r>
      <w:r>
        <w:rPr>
          <w:color w:val="222222"/>
          <w:sz w:val="21"/>
        </w:rPr>
        <w:t>采购计划数量的</w:t>
      </w:r>
      <w:r>
        <w:rPr>
          <w:color w:val="222222"/>
          <w:sz w:val="21"/>
        </w:rPr>
        <w:t>80%-90%（不含本数）；</w:t>
      </w:r>
    </w:p>
    <w:p>
      <w:pPr>
        <w:jc w:val="both"/>
      </w:pPr>
      <w:r>
        <w:rPr>
          <w:color w:val="222222"/>
          <w:sz w:val="21"/>
        </w:rPr>
        <w:t>1.5未按</w:t>
      </w:r>
      <w:r>
        <w:rPr>
          <w:color w:val="222222"/>
          <w:sz w:val="21"/>
        </w:rPr>
        <w:t>甲方</w:t>
      </w:r>
      <w:r>
        <w:rPr>
          <w:color w:val="222222"/>
          <w:sz w:val="21"/>
        </w:rPr>
        <w:t>指定秩序卸货；</w:t>
      </w:r>
    </w:p>
    <w:p>
      <w:pPr>
        <w:jc w:val="both"/>
      </w:pPr>
      <w:r>
        <w:rPr>
          <w:color w:val="222222"/>
          <w:sz w:val="21"/>
        </w:rPr>
        <w:t>1.6食材出现质量问题，</w:t>
      </w:r>
      <w:r>
        <w:rPr>
          <w:color w:val="222222"/>
          <w:sz w:val="21"/>
        </w:rPr>
        <w:t>乙方</w:t>
      </w:r>
      <w:r>
        <w:rPr>
          <w:color w:val="222222"/>
          <w:sz w:val="21"/>
        </w:rPr>
        <w:t>不积极配合查找原因，不及时反馈处理结果；</w:t>
      </w:r>
    </w:p>
    <w:p>
      <w:pPr>
        <w:jc w:val="both"/>
      </w:pPr>
      <w:r>
        <w:rPr>
          <w:color w:val="222222"/>
          <w:sz w:val="21"/>
        </w:rPr>
        <w:t>1.7工作人员不遵守</w:t>
      </w:r>
      <w:r>
        <w:rPr>
          <w:color w:val="222222"/>
          <w:sz w:val="21"/>
        </w:rPr>
        <w:t>甲方</w:t>
      </w:r>
      <w:r>
        <w:rPr>
          <w:color w:val="222222"/>
          <w:sz w:val="21"/>
        </w:rPr>
        <w:t>各项管理规定；</w:t>
      </w:r>
    </w:p>
    <w:p>
      <w:pPr>
        <w:ind w:firstLine="420"/>
        <w:jc w:val="both"/>
      </w:pPr>
      <w:r>
        <w:rPr>
          <w:color w:val="222222"/>
          <w:sz w:val="21"/>
        </w:rPr>
        <w:t>2.发生以下情形，经调查属实的，扣除500元货款：</w:t>
      </w:r>
    </w:p>
    <w:p>
      <w:pPr>
        <w:jc w:val="both"/>
      </w:pPr>
      <w:r>
        <w:rPr>
          <w:color w:val="222222"/>
          <w:sz w:val="21"/>
        </w:rPr>
        <w:t>2.1供应食材品种、品牌、规格或质量等级与合同不符；</w:t>
      </w:r>
    </w:p>
    <w:p>
      <w:pPr>
        <w:jc w:val="both"/>
      </w:pPr>
      <w:r>
        <w:rPr>
          <w:color w:val="222222"/>
          <w:sz w:val="21"/>
        </w:rPr>
        <w:t>2.2提供虚假检验报告等相关票证；</w:t>
      </w:r>
    </w:p>
    <w:p>
      <w:pPr>
        <w:jc w:val="both"/>
      </w:pPr>
      <w:r>
        <w:rPr>
          <w:color w:val="222222"/>
          <w:sz w:val="21"/>
        </w:rPr>
        <w:t>2.3供货数量低于</w:t>
      </w:r>
      <w:r>
        <w:rPr>
          <w:color w:val="222222"/>
          <w:sz w:val="21"/>
        </w:rPr>
        <w:t>甲方</w:t>
      </w:r>
      <w:r>
        <w:rPr>
          <w:color w:val="222222"/>
          <w:sz w:val="21"/>
        </w:rPr>
        <w:t>采购计划数量的</w:t>
      </w:r>
      <w:r>
        <w:rPr>
          <w:color w:val="222222"/>
          <w:sz w:val="21"/>
        </w:rPr>
        <w:t>80%（含本数）；</w:t>
      </w:r>
    </w:p>
    <w:p>
      <w:pPr>
        <w:jc w:val="both"/>
      </w:pPr>
      <w:r>
        <w:rPr>
          <w:color w:val="222222"/>
          <w:sz w:val="21"/>
        </w:rPr>
        <w:t>2.4同一品种货物连续两次验收发现质量不合格产品并退货；</w:t>
      </w:r>
    </w:p>
    <w:p>
      <w:pPr>
        <w:jc w:val="both"/>
      </w:pPr>
      <w:r>
        <w:rPr>
          <w:color w:val="222222"/>
          <w:sz w:val="21"/>
        </w:rPr>
        <w:t>2.5把</w:t>
      </w:r>
      <w:r>
        <w:rPr>
          <w:color w:val="222222"/>
          <w:sz w:val="21"/>
        </w:rPr>
        <w:t>甲方</w:t>
      </w:r>
      <w:r>
        <w:rPr>
          <w:color w:val="222222"/>
          <w:sz w:val="21"/>
        </w:rPr>
        <w:t>验收不合格退货的食材重新配送给</w:t>
      </w:r>
      <w:r>
        <w:rPr>
          <w:color w:val="222222"/>
          <w:sz w:val="21"/>
        </w:rPr>
        <w:t>甲方</w:t>
      </w:r>
      <w:r>
        <w:rPr>
          <w:color w:val="222222"/>
          <w:sz w:val="21"/>
        </w:rPr>
        <w:t>；</w:t>
      </w:r>
    </w:p>
    <w:p>
      <w:pPr>
        <w:jc w:val="both"/>
      </w:pPr>
      <w:r>
        <w:rPr>
          <w:color w:val="222222"/>
          <w:sz w:val="21"/>
        </w:rPr>
        <w:t>2.6在包装、运输、装卸等环节不符合食品安全要求；</w:t>
      </w:r>
    </w:p>
    <w:p>
      <w:pPr>
        <w:jc w:val="both"/>
      </w:pPr>
      <w:r>
        <w:rPr>
          <w:color w:val="222222"/>
          <w:sz w:val="21"/>
        </w:rPr>
        <w:t>2.7组织机构发生调整，或经营场所、联系人、联系方式变更，未及时通知</w:t>
      </w:r>
      <w:r>
        <w:rPr>
          <w:color w:val="222222"/>
          <w:sz w:val="21"/>
        </w:rPr>
        <w:t>甲方</w:t>
      </w:r>
      <w:r>
        <w:rPr>
          <w:color w:val="222222"/>
          <w:sz w:val="21"/>
        </w:rPr>
        <w:t>业务部门，造成无法及时联系；</w:t>
      </w:r>
    </w:p>
    <w:p>
      <w:pPr>
        <w:jc w:val="both"/>
      </w:pPr>
      <w:r>
        <w:rPr>
          <w:color w:val="222222"/>
          <w:sz w:val="21"/>
        </w:rPr>
        <w:t>2.8食品溯源管理制度不落实，进货查验记录不全；</w:t>
      </w:r>
    </w:p>
    <w:p>
      <w:pPr>
        <w:ind w:firstLine="420"/>
        <w:jc w:val="both"/>
      </w:pPr>
      <w:r>
        <w:rPr>
          <w:color w:val="222222"/>
          <w:sz w:val="21"/>
        </w:rPr>
        <w:t>发生上述</w:t>
      </w:r>
      <w:r>
        <w:rPr>
          <w:color w:val="222222"/>
          <w:sz w:val="21"/>
        </w:rPr>
        <w:t>1、2扣除货款情形的，在未因所供食材发生食品安全事故的前提下，在合同期第一、二个星期内可予以豁免扣除货款，第三个星期起严格执行。</w:t>
      </w:r>
    </w:p>
    <w:p>
      <w:pPr>
        <w:ind w:firstLine="420"/>
        <w:jc w:val="both"/>
      </w:pPr>
      <w:r>
        <w:rPr>
          <w:color w:val="222222"/>
          <w:sz w:val="21"/>
        </w:rPr>
        <w:t>3.发生以下情形，经调查属实的，扣除1000元货款：</w:t>
      </w:r>
    </w:p>
    <w:p>
      <w:pPr>
        <w:ind w:firstLine="420"/>
        <w:jc w:val="both"/>
      </w:pPr>
      <w:r>
        <w:rPr>
          <w:color w:val="222222"/>
          <w:sz w:val="21"/>
        </w:rPr>
        <w:t>3.1</w:t>
      </w:r>
      <w:r>
        <w:rPr>
          <w:color w:val="222222"/>
          <w:sz w:val="21"/>
        </w:rPr>
        <w:t>乙方</w:t>
      </w:r>
      <w:r>
        <w:rPr>
          <w:color w:val="222222"/>
          <w:sz w:val="21"/>
        </w:rPr>
        <w:t>的工作人员不遵守</w:t>
      </w:r>
      <w:r>
        <w:rPr>
          <w:color w:val="222222"/>
          <w:sz w:val="21"/>
        </w:rPr>
        <w:t>甲方</w:t>
      </w:r>
      <w:r>
        <w:rPr>
          <w:color w:val="222222"/>
          <w:sz w:val="21"/>
        </w:rPr>
        <w:t>各项管理规定，或泄露</w:t>
      </w:r>
      <w:r>
        <w:rPr>
          <w:color w:val="222222"/>
          <w:sz w:val="21"/>
        </w:rPr>
        <w:t>甲方</w:t>
      </w:r>
      <w:r>
        <w:rPr>
          <w:color w:val="222222"/>
          <w:sz w:val="21"/>
        </w:rPr>
        <w:t>内部情况，造成社会不良影响；</w:t>
      </w:r>
    </w:p>
    <w:p>
      <w:pPr>
        <w:ind w:firstLine="420"/>
        <w:jc w:val="both"/>
      </w:pPr>
      <w:r>
        <w:rPr>
          <w:color w:val="222222"/>
          <w:sz w:val="21"/>
        </w:rPr>
        <w:t>3.2</w:t>
      </w:r>
      <w:r>
        <w:rPr>
          <w:color w:val="222222"/>
          <w:sz w:val="21"/>
        </w:rPr>
        <w:t>乙方</w:t>
      </w:r>
      <w:r>
        <w:rPr>
          <w:color w:val="222222"/>
          <w:sz w:val="21"/>
        </w:rPr>
        <w:t>提供假冒伪劣、过期产品的，一经发现，除按</w:t>
      </w:r>
      <w:r>
        <w:rPr>
          <w:color w:val="222222"/>
          <w:sz w:val="21"/>
        </w:rPr>
        <w:t>甲方</w:t>
      </w:r>
      <w:r>
        <w:rPr>
          <w:color w:val="222222"/>
          <w:sz w:val="21"/>
        </w:rPr>
        <w:t>要求无条件退货或换货外，还将被处以</w:t>
      </w:r>
      <w:r>
        <w:rPr>
          <w:color w:val="222222"/>
          <w:sz w:val="21"/>
        </w:rPr>
        <w:t>10倍的罚款，罚款由供货结算款内扣除。</w:t>
      </w:r>
    </w:p>
    <w:p>
      <w:pPr>
        <w:ind w:firstLine="420"/>
        <w:jc w:val="both"/>
      </w:pPr>
      <w:r>
        <w:rPr>
          <w:color w:val="222222"/>
          <w:sz w:val="21"/>
        </w:rPr>
        <w:t>若同时出现上述货款扣除情形，则仅按扣除数额最大的情形执行，不对同时出现的情形累计扣除货款</w:t>
      </w:r>
    </w:p>
    <w:p>
      <w:pPr>
        <w:ind w:firstLine="420"/>
        <w:jc w:val="both"/>
      </w:pPr>
      <w:r>
        <w:rPr>
          <w:color w:val="222222"/>
          <w:sz w:val="21"/>
        </w:rPr>
        <w:t>4.如</w:t>
      </w:r>
      <w:r>
        <w:rPr>
          <w:color w:val="222222"/>
          <w:sz w:val="21"/>
        </w:rPr>
        <w:t>乙方</w:t>
      </w:r>
      <w:r>
        <w:rPr>
          <w:color w:val="222222"/>
          <w:sz w:val="21"/>
        </w:rPr>
        <w:t>在合同执行过程需终止执行合同的，需提前一个月以书面形式告知</w:t>
      </w:r>
      <w:r>
        <w:rPr>
          <w:color w:val="222222"/>
          <w:sz w:val="21"/>
        </w:rPr>
        <w:t>甲方</w:t>
      </w:r>
      <w:r>
        <w:rPr>
          <w:color w:val="222222"/>
          <w:sz w:val="21"/>
        </w:rPr>
        <w:t>，否则按单方终止执行合同处理。</w:t>
      </w:r>
    </w:p>
    <w:p>
      <w:pPr>
        <w:ind w:firstLine="420"/>
        <w:jc w:val="both"/>
      </w:pPr>
      <w:r>
        <w:rPr>
          <w:color w:val="222222"/>
          <w:sz w:val="21"/>
        </w:rPr>
        <w:t>5.若</w:t>
      </w:r>
      <w:r>
        <w:rPr>
          <w:color w:val="222222"/>
          <w:sz w:val="21"/>
        </w:rPr>
        <w:t>乙方</w:t>
      </w:r>
      <w:r>
        <w:rPr>
          <w:color w:val="222222"/>
          <w:sz w:val="21"/>
        </w:rPr>
        <w:t>提供的配送服务不符合本项目要求的，</w:t>
      </w:r>
      <w:r>
        <w:rPr>
          <w:color w:val="222222"/>
          <w:sz w:val="21"/>
        </w:rPr>
        <w:t>乙方</w:t>
      </w:r>
      <w:r>
        <w:rPr>
          <w:color w:val="222222"/>
          <w:sz w:val="21"/>
        </w:rPr>
        <w:t>应在收到</w:t>
      </w:r>
      <w:r>
        <w:rPr>
          <w:color w:val="222222"/>
          <w:sz w:val="21"/>
        </w:rPr>
        <w:t>甲方</w:t>
      </w:r>
      <w:r>
        <w:rPr>
          <w:color w:val="222222"/>
          <w:sz w:val="21"/>
        </w:rPr>
        <w:t>整改通知之日起在一星期内予以整改完毕。若</w:t>
      </w:r>
      <w:r>
        <w:rPr>
          <w:color w:val="222222"/>
          <w:sz w:val="21"/>
        </w:rPr>
        <w:t>乙方</w:t>
      </w:r>
      <w:r>
        <w:rPr>
          <w:color w:val="222222"/>
          <w:sz w:val="21"/>
        </w:rPr>
        <w:t>逾期整改或整改后仍未能按合同约定提供配送服务的，从逾期之日起每日按合同总价</w:t>
      </w:r>
      <w:r>
        <w:rPr>
          <w:color w:val="222222"/>
          <w:sz w:val="21"/>
        </w:rPr>
        <w:t>3‰的数额向</w:t>
      </w:r>
      <w:r>
        <w:rPr>
          <w:color w:val="222222"/>
          <w:sz w:val="21"/>
        </w:rPr>
        <w:t>甲方</w:t>
      </w:r>
      <w:r>
        <w:rPr>
          <w:color w:val="222222"/>
          <w:sz w:val="21"/>
        </w:rPr>
        <w:t>支付违约金；逾期</w:t>
      </w:r>
      <w:r>
        <w:rPr>
          <w:color w:val="222222"/>
          <w:sz w:val="21"/>
        </w:rPr>
        <w:t>10天以上（含10天）的，</w:t>
      </w:r>
      <w:r>
        <w:rPr>
          <w:color w:val="222222"/>
          <w:sz w:val="21"/>
        </w:rPr>
        <w:t>甲方</w:t>
      </w:r>
      <w:r>
        <w:rPr>
          <w:color w:val="222222"/>
          <w:sz w:val="21"/>
        </w:rPr>
        <w:t>除有权终止合同，还有权要求</w:t>
      </w:r>
      <w:r>
        <w:rPr>
          <w:color w:val="222222"/>
          <w:sz w:val="21"/>
        </w:rPr>
        <w:t>乙方</w:t>
      </w:r>
      <w:r>
        <w:rPr>
          <w:color w:val="222222"/>
          <w:sz w:val="21"/>
        </w:rPr>
        <w:t>按合同总价</w:t>
      </w:r>
      <w:r>
        <w:rPr>
          <w:color w:val="222222"/>
          <w:sz w:val="21"/>
        </w:rPr>
        <w:t>1%支付违约金，并且给</w:t>
      </w:r>
      <w:r>
        <w:rPr>
          <w:color w:val="222222"/>
          <w:sz w:val="21"/>
        </w:rPr>
        <w:t>甲方</w:t>
      </w:r>
      <w:r>
        <w:rPr>
          <w:color w:val="222222"/>
          <w:sz w:val="21"/>
        </w:rPr>
        <w:t>造成的经济损失由</w:t>
      </w:r>
      <w:r>
        <w:rPr>
          <w:color w:val="222222"/>
          <w:sz w:val="21"/>
        </w:rPr>
        <w:t>乙方</w:t>
      </w:r>
      <w:r>
        <w:rPr>
          <w:color w:val="222222"/>
          <w:sz w:val="21"/>
        </w:rPr>
        <w:t>承担赔偿责任。</w:t>
      </w:r>
    </w:p>
    <w:p>
      <w:pPr>
        <w:ind w:firstLine="420"/>
        <w:jc w:val="both"/>
      </w:pPr>
      <w:r>
        <w:rPr>
          <w:color w:val="222222"/>
          <w:sz w:val="21"/>
        </w:rPr>
        <w:t>6.合同任意一方违约，守约方为维护自身合法权益所支出的一切费用，包括但不限于律师费、诉讼费等费用，由违约方承担。</w:t>
      </w:r>
    </w:p>
    <w:p>
      <w:pPr>
        <w:ind w:firstLine="420"/>
        <w:jc w:val="both"/>
      </w:pPr>
      <w:r>
        <w:rPr>
          <w:color w:val="222222"/>
          <w:sz w:val="21"/>
        </w:rPr>
        <w:t>7.其它违约责任按《中华人民共和国民法典》处理。</w:t>
      </w:r>
    </w:p>
    <w:p>
      <w:pPr>
        <w:jc w:val="both"/>
      </w:pPr>
      <w:r>
        <w:rPr>
          <w:b/>
          <w:sz w:val="21"/>
        </w:rPr>
        <w:t>十四</w:t>
      </w:r>
      <w:r>
        <w:rPr>
          <w:b/>
          <w:sz w:val="21"/>
        </w:rPr>
        <w:t>、争议的解决</w:t>
      </w:r>
    </w:p>
    <w:p>
      <w:pPr>
        <w:ind w:firstLine="400"/>
        <w:jc w:val="both"/>
      </w:pPr>
      <w:r>
        <w:rPr>
          <w:color w:val="222222"/>
          <w:sz w:val="21"/>
        </w:rPr>
        <w:t>合同执行过程中发生的任何争议，如双方不能通过友好协商解决，按相关法律法规处理。</w:t>
      </w:r>
      <w:r>
        <w:rPr>
          <w:color w:val="222222"/>
          <w:sz w:val="21"/>
        </w:rPr>
        <w:t xml:space="preserve">     </w:t>
      </w:r>
    </w:p>
    <w:p>
      <w:pPr>
        <w:jc w:val="both"/>
      </w:pPr>
      <w:r>
        <w:rPr>
          <w:b/>
          <w:sz w:val="21"/>
        </w:rPr>
        <w:t>十五</w:t>
      </w:r>
      <w:r>
        <w:rPr>
          <w:b/>
          <w:sz w:val="21"/>
        </w:rPr>
        <w:t>、不可抗力</w:t>
      </w:r>
    </w:p>
    <w:p>
      <w:pPr>
        <w:jc w:val="both"/>
      </w:pPr>
      <w:r>
        <w:rPr>
          <w:color w:val="222222"/>
          <w:sz w:val="21"/>
        </w:rPr>
        <w:t>　　任何一方由于不可抗力原因不能履行合同时，应在不可抗力事件结束后</w:t>
      </w:r>
      <w:r>
        <w:rPr>
          <w:color w:val="222222"/>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六</w:t>
      </w:r>
      <w:r>
        <w:rPr>
          <w:b/>
          <w:sz w:val="21"/>
        </w:rPr>
        <w:t>、税费</w:t>
      </w:r>
    </w:p>
    <w:p>
      <w:pPr>
        <w:jc w:val="both"/>
      </w:pPr>
      <w:r>
        <w:rPr>
          <w:color w:val="222222"/>
          <w:sz w:val="21"/>
        </w:rPr>
        <w:t>　　在中国境内、外发生的与本合同执行有关的一切税费均由乙方负担。</w:t>
      </w:r>
    </w:p>
    <w:p>
      <w:pPr>
        <w:jc w:val="both"/>
      </w:pPr>
      <w:r>
        <w:rPr>
          <w:b/>
          <w:sz w:val="21"/>
        </w:rPr>
        <w:t>十</w:t>
      </w:r>
      <w:r>
        <w:rPr>
          <w:b/>
          <w:sz w:val="21"/>
        </w:rPr>
        <w:t>七</w:t>
      </w:r>
      <w:r>
        <w:rPr>
          <w:b/>
          <w:sz w:val="21"/>
        </w:rPr>
        <w:t>、其它</w:t>
      </w:r>
    </w:p>
    <w:p>
      <w:pPr>
        <w:jc w:val="both"/>
      </w:pPr>
      <w:r>
        <w:rPr>
          <w:color w:val="222222"/>
          <w:sz w:val="21"/>
        </w:rPr>
        <w:t>1.本合同所有附件、招标文件、投标文件、中标通知书均为合同的有效组成部分，与本合同具有同等法律效力。</w:t>
      </w:r>
    </w:p>
    <w:p>
      <w:pPr>
        <w:jc w:val="both"/>
      </w:pPr>
      <w:r>
        <w:rPr>
          <w:color w:val="222222"/>
          <w:sz w:val="21"/>
        </w:rPr>
        <w:t>2.在执行本合同的过程中，所有经双方签署确认的文件（包括会议纪要、补充协议、往来信函）即成为本合同的有效组成部分。</w:t>
      </w:r>
    </w:p>
    <w:p>
      <w:pPr>
        <w:jc w:val="both"/>
      </w:pPr>
      <w:r>
        <w:rPr>
          <w:color w:val="222222"/>
          <w:sz w:val="21"/>
        </w:rPr>
        <w:t>3.如一方地址、电话、传真号码有变更，应在变更当日内书面通知对方，否则，应承担相应责任。</w:t>
      </w:r>
    </w:p>
    <w:p>
      <w:pPr>
        <w:jc w:val="both"/>
      </w:pPr>
      <w:r>
        <w:rPr>
          <w:color w:val="222222"/>
          <w:sz w:val="21"/>
        </w:rPr>
        <w:t>4.除甲方事先书面同意外，乙方不得部分或全部转让其应履行的合同项下的义务。</w:t>
      </w:r>
    </w:p>
    <w:p>
      <w:pPr>
        <w:jc w:val="both"/>
      </w:pPr>
      <w:r>
        <w:rPr>
          <w:b/>
          <w:sz w:val="21"/>
        </w:rPr>
        <w:t>十</w:t>
      </w:r>
      <w:r>
        <w:rPr>
          <w:b/>
          <w:sz w:val="21"/>
        </w:rPr>
        <w:t>八</w:t>
      </w:r>
      <w:r>
        <w:rPr>
          <w:b/>
          <w:sz w:val="21"/>
        </w:rPr>
        <w:t>、合同生效</w:t>
      </w:r>
    </w:p>
    <w:p>
      <w:pPr>
        <w:jc w:val="both"/>
      </w:pPr>
      <w:r>
        <w:rPr>
          <w:color w:val="222222"/>
          <w:sz w:val="21"/>
        </w:rPr>
        <w:t>1.本合同在甲乙双方法人代表或其授权代表签字盖章后生效。</w:t>
      </w:r>
    </w:p>
    <w:p>
      <w:pPr>
        <w:jc w:val="both"/>
      </w:pPr>
      <w:r>
        <w:rPr>
          <w:color w:val="222222"/>
          <w:sz w:val="21"/>
        </w:rPr>
        <w:t>2.合同一式</w:t>
      </w:r>
      <w:r>
        <w:rPr>
          <w:sz w:val="21"/>
          <w:u w:val="single"/>
        </w:rPr>
        <w:t xml:space="preserve">   </w:t>
      </w:r>
      <w:r>
        <w:rPr>
          <w:color w:val="222222"/>
          <w:sz w:val="21"/>
        </w:rPr>
        <w:t>份</w:t>
      </w:r>
      <w:r>
        <w:rPr>
          <w:color w:val="222222"/>
          <w:sz w:val="21"/>
        </w:rPr>
        <w:t>，</w:t>
      </w:r>
      <w:r>
        <w:rPr>
          <w:color w:val="222222"/>
          <w:sz w:val="21"/>
        </w:rPr>
        <w:t>甲方执</w:t>
      </w:r>
      <w:r>
        <w:rPr>
          <w:sz w:val="21"/>
          <w:u w:val="single"/>
        </w:rPr>
        <w:t xml:space="preserve">  </w:t>
      </w:r>
      <w:r>
        <w:rPr>
          <w:color w:val="222222"/>
          <w:sz w:val="21"/>
        </w:rPr>
        <w:t>份</w:t>
      </w:r>
      <w:r>
        <w:rPr>
          <w:color w:val="222222"/>
          <w:sz w:val="21"/>
        </w:rPr>
        <w:t>，</w:t>
      </w:r>
      <w:r>
        <w:rPr>
          <w:color w:val="222222"/>
          <w:sz w:val="21"/>
        </w:rPr>
        <w:t>乙方执</w:t>
      </w:r>
      <w:r>
        <w:rPr>
          <w:sz w:val="21"/>
          <w:u w:val="single"/>
        </w:rPr>
        <w:t xml:space="preserve">  </w:t>
      </w:r>
      <w:r>
        <w:rPr>
          <w:color w:val="222222"/>
          <w:sz w:val="21"/>
        </w:rPr>
        <w:t>份。</w:t>
      </w:r>
    </w:p>
    <w:p>
      <w:pPr>
        <w:jc w:val="both"/>
      </w:pPr>
      <w:r>
        <w:rPr>
          <w:color w:val="222222"/>
          <w:sz w:val="21"/>
        </w:rPr>
        <w:t xml:space="preserve"> </w:t>
      </w:r>
    </w:p>
    <w:p>
      <w:pPr>
        <w:jc w:val="both"/>
      </w:pPr>
      <w:r>
        <w:rPr>
          <w:b/>
          <w:sz w:val="21"/>
        </w:rPr>
        <w:t>甲方（盖章）：</w:t>
      </w:r>
      <w:r>
        <w:rPr>
          <w:b/>
          <w:sz w:val="21"/>
        </w:rPr>
        <w:t xml:space="preserve">               乙方（盖章）：</w:t>
      </w:r>
    </w:p>
    <w:p>
      <w:pPr>
        <w:jc w:val="both"/>
      </w:pPr>
      <w:r>
        <w:rPr>
          <w:b/>
          <w:sz w:val="21"/>
        </w:rPr>
        <w:t>代表：</w:t>
      </w:r>
      <w:r>
        <w:rPr>
          <w:b/>
          <w:sz w:val="21"/>
        </w:rPr>
        <w:t xml:space="preserve">                   </w:t>
      </w:r>
      <w:r>
        <w:rPr>
          <w:b/>
          <w:sz w:val="24"/>
        </w:rPr>
        <w:t xml:space="preserve"> </w:t>
      </w:r>
      <w:r>
        <w:rPr>
          <w:b/>
          <w:sz w:val="21"/>
        </w:rPr>
        <w:t>代表：</w:t>
      </w:r>
    </w:p>
    <w:p>
      <w:pPr>
        <w:jc w:val="both"/>
      </w:pPr>
      <w:r>
        <w:rPr>
          <w:color w:val="222222"/>
          <w:sz w:val="21"/>
        </w:rPr>
        <w:t>签订地点：</w:t>
      </w:r>
    </w:p>
    <w:p>
      <w:pPr>
        <w:jc w:val="both"/>
      </w:pPr>
      <w:r>
        <w:rPr>
          <w:color w:val="222222"/>
          <w:sz w:val="21"/>
        </w:rPr>
        <w:t>签订日期：　　　年　　月　　日</w:t>
      </w:r>
      <w:r>
        <w:rPr>
          <w:color w:val="222222"/>
          <w:sz w:val="21"/>
        </w:rPr>
        <w:t xml:space="preserve"> </w:t>
      </w:r>
      <w:r>
        <w:rPr>
          <w:sz w:val="24"/>
        </w:rPr>
        <w:t xml:space="preserve">             </w:t>
      </w:r>
      <w:r>
        <w:rPr>
          <w:color w:val="222222"/>
          <w:sz w:val="21"/>
        </w:rPr>
        <w:t>签订日期：　　　年　　月　　日</w:t>
      </w:r>
    </w:p>
    <w:p>
      <w:pPr>
        <w:jc w:val="both"/>
      </w:pPr>
      <w:r>
        <w:rPr>
          <w:color w:val="222222"/>
          <w:sz w:val="21"/>
        </w:rPr>
        <w:t>开户名称：</w:t>
      </w:r>
    </w:p>
    <w:p>
      <w:pPr>
        <w:jc w:val="both"/>
      </w:pPr>
      <w:r>
        <w:rPr>
          <w:color w:val="222222"/>
          <w:sz w:val="21"/>
        </w:rPr>
        <w:t>银行帐号：</w:t>
      </w:r>
    </w:p>
    <w:p>
      <w:pPr>
        <w:jc w:val="both"/>
      </w:pPr>
      <w:r>
        <w:rPr>
          <w:color w:val="222222"/>
          <w:sz w:val="21"/>
        </w:rPr>
        <w:t>开</w:t>
      </w:r>
      <w:r>
        <w:rPr>
          <w:color w:val="222222"/>
          <w:sz w:val="21"/>
        </w:rPr>
        <w:t>户</w:t>
      </w:r>
      <w:r>
        <w:rPr>
          <w:color w:val="222222"/>
          <w:sz w:val="21"/>
        </w:rPr>
        <w:t>行：</w:t>
      </w:r>
    </w:p>
    <w:p>
      <w:pPr>
        <w:jc w:val="both"/>
      </w:pPr>
    </w:p>
    <w:p/>
    <w:p/>
    <w:p>
      <w:r>
        <w:rPr/>
        <w:t xml:space="preserve"> </w:t>
      </w:r>
    </w:p>
    <w:p>
      <w:pPr>
        <w:jc w:val="both"/>
      </w:pPr>
      <w:r>
        <w:rPr>
          <w:b/>
          <w:sz w:val="21"/>
        </w:rPr>
        <w:t>附件：</w:t>
      </w:r>
    </w:p>
    <w:p>
      <w:pPr>
        <w:jc w:val="center"/>
      </w:pPr>
      <w:r>
        <w:rPr>
          <w:b/>
          <w:sz w:val="28"/>
        </w:rPr>
        <w:t>年度考核表</w:t>
      </w:r>
    </w:p>
    <w:p>
      <w:pPr>
        <w:jc w:val="center"/>
      </w:pPr>
      <w:r>
        <w:rPr>
          <w:sz w:val="21"/>
        </w:rPr>
        <w:t>（</w:t>
      </w:r>
      <w:r>
        <w:rPr>
          <w:sz w:val="21"/>
        </w:rPr>
        <w:t xml:space="preserve">         </w:t>
      </w:r>
      <w:r>
        <w:rPr>
          <w:sz w:val="21"/>
        </w:rPr>
        <w:t>年度）</w:t>
      </w:r>
    </w:p>
    <w:tbl>
      <w:tblPr>
        <w:tblW w:w="0" w:type="auto"/>
        <w:tblBorders>
          <w:top w:val="none" w:color="000000" w:sz="4"/>
          <w:left w:val="none" w:color="000000" w:sz="4"/>
          <w:bottom w:val="none" w:color="000000" w:sz="4"/>
          <w:right w:val="none" w:color="000000" w:sz="4"/>
          <w:insideH w:val="none"/>
          <w:insideV w:val="none"/>
        </w:tblBorders>
      </w:tblPr>
      <w:tblGrid>
        <w:gridCol w:w="1658"/>
        <w:gridCol w:w="1658"/>
        <w:gridCol w:w="1658"/>
        <w:gridCol w:w="1658"/>
        <w:gridCol w:w="1658"/>
      </w:tblGrid>
      <w:tr>
        <w:tc>
          <w:tcPr>
            <w:tcW w:type="dxa" w:w="8290"/>
            <w:gridSpan w:val="5"/>
            <w:tcBorders>
              <w:top w:val="single" w:color="000000" w:sz="4"/>
              <w:left w:val="single" w:color="000000" w:sz="4"/>
              <w:bottom w:val="single" w:color="000000" w:sz="4"/>
              <w:right w:val="single" w:color="000000" w:sz="4"/>
            </w:tcBorders>
            <w:vAlign w:val="top"/>
          </w:tcPr>
          <w:p>
            <w:pPr>
              <w:jc w:val="both"/>
            </w:pPr>
            <w:r>
              <w:rPr>
                <w:sz w:val="21"/>
              </w:rPr>
              <w:t>考核内容：</w:t>
            </w:r>
          </w:p>
          <w:p>
            <w:pPr>
              <w:jc w:val="both"/>
            </w:pPr>
            <w:r>
              <w:rPr>
                <w:sz w:val="21"/>
              </w:rPr>
              <w:t>1</w:t>
            </w:r>
            <w:r>
              <w:rPr>
                <w:sz w:val="21"/>
              </w:rPr>
              <w:t>.</w:t>
            </w:r>
            <w:r>
              <w:rPr>
                <w:sz w:val="21"/>
              </w:rPr>
              <w:t>每次</w:t>
            </w:r>
            <w:r>
              <w:rPr>
                <w:sz w:val="21"/>
              </w:rPr>
              <w:t>配送未按要求提供相关检验证明</w:t>
            </w:r>
            <w:r>
              <w:rPr>
                <w:sz w:val="21"/>
              </w:rPr>
              <w:t>扣</w:t>
            </w:r>
            <w:r>
              <w:rPr>
                <w:sz w:val="21"/>
              </w:rPr>
              <w:t>10分；</w:t>
            </w:r>
          </w:p>
          <w:p>
            <w:pPr>
              <w:jc w:val="both"/>
            </w:pPr>
            <w:r>
              <w:rPr>
                <w:sz w:val="21"/>
              </w:rPr>
              <w:t>2</w:t>
            </w:r>
            <w:r>
              <w:rPr>
                <w:sz w:val="21"/>
              </w:rPr>
              <w:t>.</w:t>
            </w:r>
            <w:r>
              <w:rPr>
                <w:sz w:val="21"/>
              </w:rPr>
              <w:t>每次不符合肉菜验收标准细则中任一条扣</w:t>
            </w:r>
            <w:r>
              <w:rPr>
                <w:sz w:val="21"/>
              </w:rPr>
              <w:t>3分/条；</w:t>
            </w:r>
          </w:p>
          <w:p>
            <w:pPr>
              <w:jc w:val="both"/>
            </w:pPr>
            <w:r>
              <w:rPr>
                <w:sz w:val="21"/>
              </w:rPr>
              <w:t>3.</w:t>
            </w:r>
            <w:r>
              <w:rPr>
                <w:sz w:val="21"/>
              </w:rPr>
              <w:t>每次在</w:t>
            </w:r>
            <w:r>
              <w:rPr>
                <w:sz w:val="21"/>
              </w:rPr>
              <w:t>8：45时至9：00时</w:t>
            </w:r>
            <w:r>
              <w:rPr>
                <w:sz w:val="21"/>
              </w:rPr>
              <w:t>配送</w:t>
            </w:r>
            <w:r>
              <w:rPr>
                <w:sz w:val="21"/>
              </w:rPr>
              <w:t>的扣</w:t>
            </w:r>
            <w:r>
              <w:rPr>
                <w:sz w:val="21"/>
              </w:rPr>
              <w:t>1分；9：30时后</w:t>
            </w:r>
            <w:r>
              <w:rPr>
                <w:sz w:val="21"/>
              </w:rPr>
              <w:t>配送</w:t>
            </w:r>
            <w:r>
              <w:rPr>
                <w:sz w:val="21"/>
              </w:rPr>
              <w:t>的扣</w:t>
            </w:r>
            <w:r>
              <w:rPr>
                <w:sz w:val="21"/>
              </w:rPr>
              <w:t>2分。</w:t>
            </w:r>
          </w:p>
          <w:p>
            <w:pPr>
              <w:jc w:val="both"/>
            </w:pPr>
            <w:r>
              <w:rPr>
                <w:sz w:val="21"/>
              </w:rPr>
              <w:t>4</w:t>
            </w:r>
            <w:r>
              <w:rPr>
                <w:sz w:val="21"/>
              </w:rPr>
              <w:t>.</w:t>
            </w:r>
            <w:r>
              <w:rPr>
                <w:sz w:val="21"/>
              </w:rPr>
              <w:t>如因肉菜质量问题造成卫生安全事故，中标人须负一切责任并且采购人有权利取消其服务资格</w:t>
            </w:r>
            <w:r>
              <w:rPr>
                <w:sz w:val="21"/>
              </w:rPr>
              <w:t>。</w:t>
            </w:r>
          </w:p>
        </w:tc>
      </w:tr>
      <w:tr>
        <w:tc>
          <w:tcPr>
            <w:tcW w:type="dxa" w:w="1658"/>
            <w:tcBorders>
              <w:top w:val="none" w:color="000000" w:sz="4"/>
              <w:left w:val="single" w:color="000000" w:sz="4"/>
              <w:bottom w:val="single" w:color="000000" w:sz="4"/>
              <w:right w:val="single" w:color="000000" w:sz="4"/>
            </w:tcBorders>
            <w:vAlign w:val="top"/>
          </w:tcPr>
          <w:p>
            <w:pPr>
              <w:jc w:val="center"/>
            </w:pPr>
            <w:r>
              <w:rPr>
                <w:sz w:val="21"/>
              </w:rPr>
              <w:t>日期</w:t>
            </w:r>
          </w:p>
        </w:tc>
        <w:tc>
          <w:tcPr>
            <w:tcW w:type="dxa" w:w="1658"/>
            <w:tcBorders>
              <w:top w:val="single" w:color="000000" w:sz="4"/>
              <w:left w:val="single" w:color="000000" w:sz="4"/>
              <w:bottom w:val="single" w:color="000000" w:sz="4"/>
              <w:right w:val="single" w:color="000000" w:sz="4"/>
            </w:tcBorders>
            <w:vAlign w:val="top"/>
          </w:tcPr>
          <w:p>
            <w:pPr>
              <w:jc w:val="center"/>
            </w:pPr>
            <w:r>
              <w:rPr>
                <w:sz w:val="21"/>
              </w:rPr>
              <w:t>扣分内容</w:t>
            </w:r>
          </w:p>
        </w:tc>
        <w:tc>
          <w:tcPr>
            <w:tcW w:type="dxa" w:w="1658"/>
            <w:tcBorders>
              <w:top w:val="single" w:color="000000" w:sz="4"/>
              <w:left w:val="single" w:color="000000" w:sz="4"/>
              <w:bottom w:val="single" w:color="000000" w:sz="4"/>
              <w:right w:val="single" w:color="000000" w:sz="4"/>
            </w:tcBorders>
            <w:vAlign w:val="top"/>
          </w:tcPr>
          <w:p>
            <w:pPr>
              <w:jc w:val="center"/>
            </w:pPr>
            <w:r>
              <w:rPr>
                <w:sz w:val="21"/>
              </w:rPr>
              <w:t>本次扣分</w:t>
            </w:r>
          </w:p>
        </w:tc>
        <w:tc>
          <w:tcPr>
            <w:tcW w:type="dxa" w:w="1658"/>
            <w:tcBorders>
              <w:top w:val="single" w:color="000000" w:sz="4"/>
              <w:left w:val="single" w:color="000000" w:sz="4"/>
              <w:bottom w:val="single" w:color="000000" w:sz="4"/>
              <w:right w:val="single" w:color="000000" w:sz="4"/>
            </w:tcBorders>
            <w:vAlign w:val="top"/>
          </w:tcPr>
          <w:p>
            <w:pPr>
              <w:jc w:val="center"/>
            </w:pPr>
            <w:r>
              <w:rPr>
                <w:sz w:val="21"/>
              </w:rPr>
              <w:t>累计扣分</w:t>
            </w:r>
          </w:p>
        </w:tc>
        <w:tc>
          <w:tcPr>
            <w:tcW w:type="dxa" w:w="1658"/>
            <w:tcBorders>
              <w:top w:val="single" w:color="000000" w:sz="4"/>
              <w:left w:val="single" w:color="000000" w:sz="4"/>
              <w:bottom w:val="single" w:color="000000" w:sz="4"/>
              <w:right w:val="single" w:color="000000" w:sz="4"/>
            </w:tcBorders>
            <w:vAlign w:val="top"/>
          </w:tcPr>
          <w:p>
            <w:pPr>
              <w:jc w:val="center"/>
            </w:pPr>
            <w:r>
              <w:rPr>
                <w:sz w:val="21"/>
              </w:rPr>
              <w:t>双方签名</w:t>
            </w:r>
          </w:p>
        </w:tc>
      </w:tr>
      <w:tr>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r>
      <w:tr>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r>
      <w:tr>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r>
      <w:tr>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r>
      <w:tr>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r>
      <w:tr>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r>
      <w:tr>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r>
      <w:tr>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r>
      <w:tr>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r>
      <w:tr>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c>
          <w:tcPr>
            <w:tcW w:type="dxa" w:w="1658"/>
            <w:tcBorders>
              <w:top w:val="none" w:color="000000" w:sz="4"/>
              <w:left w:val="single" w:color="000000" w:sz="4"/>
              <w:bottom w:val="single" w:color="000000" w:sz="4"/>
              <w:right w:val="single" w:color="000000" w:sz="4"/>
            </w:tcBorders>
            <w:vAlign w:val="top"/>
          </w:tcPr>
          <w:p>
            <w:pPr>
              <w:jc w:val="center"/>
            </w:pPr>
          </w:p>
        </w:tc>
      </w:tr>
    </w:tbl>
    <w:p>
      <w:pPr>
        <w:jc w:val="both"/>
      </w:pPr>
    </w:p>
    <w:p/>
    <w:p/>
    <w:p>
      <w:r>
        <w:rPr/>
        <w:t xml:space="preserve"> </w:t>
      </w:r>
    </w:p>
    <w:p>
      <w:pPr>
        <w:jc w:val="center"/>
      </w:pPr>
      <w:r>
        <w:rPr>
          <w:b/>
          <w:sz w:val="21"/>
          <w:u w:val="single"/>
        </w:rPr>
        <w:t xml:space="preserve">     </w:t>
      </w:r>
      <w:r>
        <w:rPr>
          <w:b/>
          <w:sz w:val="28"/>
        </w:rPr>
        <w:t>验收记录表</w:t>
      </w:r>
    </w:p>
    <w:p>
      <w:pPr>
        <w:ind w:firstLine="42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990"/>
        <w:gridCol w:w="945"/>
        <w:gridCol w:w="945"/>
        <w:gridCol w:w="990"/>
        <w:gridCol w:w="1380"/>
        <w:gridCol w:w="1185"/>
        <w:gridCol w:w="1605"/>
      </w:tblGrid>
      <w:tr>
        <w:tc>
          <w:tcPr>
            <w:tcW w:type="dxa" w:w="990"/>
            <w:tcBorders>
              <w:top w:val="single" w:color="000000" w:sz="4"/>
              <w:left w:val="single" w:color="000000" w:sz="4"/>
              <w:bottom w:val="single" w:color="000000" w:sz="4"/>
              <w:right w:val="single" w:color="000000" w:sz="4"/>
            </w:tcBorders>
            <w:vAlign w:val="top"/>
          </w:tcPr>
          <w:p>
            <w:pPr>
              <w:jc w:val="center"/>
            </w:pPr>
            <w:r>
              <w:rPr>
                <w:sz w:val="21"/>
              </w:rPr>
              <w:t>品名</w:t>
            </w:r>
          </w:p>
        </w:tc>
        <w:tc>
          <w:tcPr>
            <w:tcW w:type="dxa" w:w="1890"/>
            <w:gridSpan w:val="2"/>
            <w:tcBorders>
              <w:top w:val="single" w:color="000000" w:sz="4"/>
              <w:left w:val="single" w:color="000000" w:sz="4"/>
              <w:bottom w:val="single" w:color="000000" w:sz="4"/>
              <w:right w:val="single" w:color="000000" w:sz="4"/>
            </w:tcBorders>
            <w:vAlign w:val="top"/>
          </w:tcPr>
          <w:p>
            <w:pPr>
              <w:jc w:val="both"/>
            </w:pPr>
          </w:p>
        </w:tc>
        <w:tc>
          <w:tcPr>
            <w:tcW w:type="dxa" w:w="990"/>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1380"/>
            <w:tcBorders>
              <w:top w:val="single" w:color="000000" w:sz="4"/>
              <w:left w:val="single" w:color="000000" w:sz="4"/>
              <w:bottom w:val="single" w:color="000000" w:sz="4"/>
              <w:right w:val="single" w:color="000000" w:sz="4"/>
            </w:tcBorders>
            <w:vAlign w:val="top"/>
          </w:tcPr>
          <w:p>
            <w:pPr>
              <w:jc w:val="center"/>
            </w:pPr>
          </w:p>
        </w:tc>
        <w:tc>
          <w:tcPr>
            <w:tcW w:type="dxa" w:w="1185"/>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605"/>
            <w:tcBorders>
              <w:top w:val="single" w:color="000000" w:sz="4"/>
              <w:left w:val="single" w:color="000000" w:sz="4"/>
              <w:bottom w:val="single" w:color="000000" w:sz="4"/>
              <w:right w:val="single" w:color="000000" w:sz="4"/>
            </w:tcBorders>
            <w:vAlign w:val="top"/>
          </w:tcPr>
          <w:p>
            <w:pPr>
              <w:jc w:val="center"/>
            </w:pPr>
          </w:p>
        </w:tc>
      </w:tr>
      <w:tr>
        <w:tc>
          <w:tcPr>
            <w:tcW w:type="dxa" w:w="990"/>
            <w:tcBorders>
              <w:top w:val="none" w:color="000000" w:sz="4"/>
              <w:left w:val="single" w:color="000000" w:sz="4"/>
              <w:bottom w:val="single" w:color="000000" w:sz="4"/>
              <w:right w:val="single" w:color="000000" w:sz="4"/>
            </w:tcBorders>
            <w:vAlign w:val="top"/>
          </w:tcPr>
          <w:p>
            <w:pPr>
              <w:jc w:val="center"/>
            </w:pPr>
            <w:r>
              <w:rPr>
                <w:sz w:val="21"/>
              </w:rPr>
              <w:t>供应商</w:t>
            </w:r>
          </w:p>
        </w:tc>
        <w:tc>
          <w:tcPr>
            <w:tcW w:type="dxa" w:w="2880"/>
            <w:gridSpan w:val="3"/>
            <w:tcBorders>
              <w:top w:val="none" w:color="000000" w:sz="4"/>
              <w:left w:val="single" w:color="000000" w:sz="4"/>
              <w:bottom w:val="single" w:color="000000" w:sz="4"/>
              <w:right w:val="single" w:color="000000" w:sz="4"/>
            </w:tcBorders>
            <w:vAlign w:val="top"/>
          </w:tcPr>
          <w:p>
            <w:pPr>
              <w:jc w:val="both"/>
            </w:pPr>
          </w:p>
        </w:tc>
        <w:tc>
          <w:tcPr>
            <w:tcW w:type="dxa" w:w="1380"/>
            <w:tcBorders>
              <w:top w:val="none" w:color="000000" w:sz="4"/>
              <w:left w:val="single" w:color="000000" w:sz="4"/>
              <w:bottom w:val="single" w:color="000000" w:sz="4"/>
              <w:right w:val="single" w:color="000000" w:sz="4"/>
            </w:tcBorders>
            <w:vAlign w:val="top"/>
          </w:tcPr>
          <w:p>
            <w:pPr>
              <w:jc w:val="center"/>
            </w:pPr>
            <w:r>
              <w:rPr>
                <w:sz w:val="21"/>
              </w:rPr>
              <w:t>票证名称</w:t>
            </w:r>
          </w:p>
        </w:tc>
        <w:tc>
          <w:tcPr>
            <w:tcW w:type="dxa" w:w="2790"/>
            <w:gridSpan w:val="2"/>
            <w:tcBorders>
              <w:top w:val="none" w:color="000000" w:sz="4"/>
              <w:left w:val="single" w:color="000000" w:sz="4"/>
              <w:bottom w:val="single" w:color="000000" w:sz="4"/>
              <w:right w:val="single" w:color="000000" w:sz="4"/>
            </w:tcBorders>
            <w:vAlign w:val="top"/>
          </w:tcPr>
          <w:p>
            <w:pPr>
              <w:jc w:val="center"/>
            </w:pPr>
          </w:p>
        </w:tc>
      </w:tr>
      <w:tr>
        <w:tc>
          <w:tcPr>
            <w:tcW w:type="dxa" w:w="990"/>
            <w:tcBorders>
              <w:top w:val="none" w:color="000000" w:sz="4"/>
              <w:left w:val="single" w:color="000000" w:sz="4"/>
              <w:bottom w:val="single" w:color="000000" w:sz="4"/>
              <w:right w:val="single" w:color="000000" w:sz="4"/>
            </w:tcBorders>
            <w:vAlign w:val="top"/>
          </w:tcPr>
          <w:p>
            <w:pPr>
              <w:jc w:val="center"/>
            </w:pPr>
            <w:r>
              <w:rPr>
                <w:sz w:val="21"/>
              </w:rPr>
              <w:t>票证出具单位</w:t>
            </w:r>
          </w:p>
        </w:tc>
        <w:tc>
          <w:tcPr>
            <w:tcW w:type="dxa" w:w="2880"/>
            <w:gridSpan w:val="3"/>
            <w:tcBorders>
              <w:top w:val="none" w:color="000000" w:sz="4"/>
              <w:left w:val="single" w:color="000000" w:sz="4"/>
              <w:bottom w:val="single" w:color="000000" w:sz="4"/>
              <w:right w:val="single" w:color="000000" w:sz="4"/>
            </w:tcBorders>
            <w:vAlign w:val="top"/>
          </w:tcPr>
          <w:p>
            <w:pPr>
              <w:jc w:val="center"/>
            </w:pPr>
          </w:p>
        </w:tc>
        <w:tc>
          <w:tcPr>
            <w:tcW w:type="dxa" w:w="1380"/>
            <w:tcBorders>
              <w:top w:val="none" w:color="000000" w:sz="4"/>
              <w:left w:val="single" w:color="000000" w:sz="4"/>
              <w:bottom w:val="single" w:color="000000" w:sz="4"/>
              <w:right w:val="single" w:color="000000" w:sz="4"/>
            </w:tcBorders>
            <w:vAlign w:val="top"/>
          </w:tcPr>
          <w:p>
            <w:pPr>
              <w:jc w:val="center"/>
            </w:pPr>
            <w:r>
              <w:rPr>
                <w:sz w:val="21"/>
              </w:rPr>
              <w:t>票证号</w:t>
            </w:r>
          </w:p>
        </w:tc>
        <w:tc>
          <w:tcPr>
            <w:tcW w:type="dxa" w:w="2790"/>
            <w:gridSpan w:val="2"/>
            <w:tcBorders>
              <w:top w:val="none" w:color="000000" w:sz="4"/>
              <w:left w:val="single" w:color="000000" w:sz="4"/>
              <w:bottom w:val="single" w:color="000000" w:sz="4"/>
              <w:right w:val="single" w:color="000000" w:sz="4"/>
            </w:tcBorders>
            <w:vAlign w:val="top"/>
          </w:tcPr>
          <w:p>
            <w:pPr>
              <w:jc w:val="center"/>
            </w:pPr>
          </w:p>
        </w:tc>
      </w:tr>
      <w:tr>
        <w:tc>
          <w:tcPr>
            <w:tcW w:type="dxa" w:w="990"/>
            <w:tcBorders>
              <w:top w:val="none" w:color="000000" w:sz="4"/>
              <w:left w:val="single" w:color="000000" w:sz="4"/>
              <w:bottom w:val="single" w:color="000000" w:sz="4"/>
              <w:right w:val="single" w:color="000000" w:sz="4"/>
            </w:tcBorders>
            <w:vAlign w:val="top"/>
          </w:tcPr>
          <w:p>
            <w:pPr>
              <w:jc w:val="center"/>
            </w:pPr>
            <w:r>
              <w:rPr>
                <w:sz w:val="21"/>
              </w:rPr>
              <w:t>验收</w:t>
            </w:r>
          </w:p>
          <w:p>
            <w:pPr>
              <w:jc w:val="center"/>
            </w:pPr>
            <w:r>
              <w:rPr>
                <w:sz w:val="21"/>
              </w:rPr>
              <w:t>情况</w:t>
            </w:r>
          </w:p>
        </w:tc>
        <w:tc>
          <w:tcPr>
            <w:tcW w:type="dxa" w:w="7050"/>
            <w:gridSpan w:val="6"/>
            <w:tcBorders>
              <w:top w:val="none" w:color="000000" w:sz="4"/>
              <w:left w:val="single" w:color="000000" w:sz="4"/>
              <w:bottom w:val="single" w:color="000000" w:sz="4"/>
              <w:right w:val="single" w:color="000000" w:sz="4"/>
            </w:tcBorders>
            <w:vAlign w:val="top"/>
          </w:tcPr>
          <w:p>
            <w:pPr>
              <w:jc w:val="center"/>
            </w:pPr>
          </w:p>
          <w:p>
            <w:pPr>
              <w:jc w:val="both"/>
            </w:pPr>
          </w:p>
        </w:tc>
      </w:tr>
      <w:tr>
        <w:tc>
          <w:tcPr>
            <w:tcW w:type="dxa" w:w="1935"/>
            <w:gridSpan w:val="2"/>
            <w:tcBorders>
              <w:top w:val="none" w:color="000000" w:sz="4"/>
              <w:left w:val="single" w:color="000000" w:sz="4"/>
              <w:bottom w:val="single" w:color="000000" w:sz="4"/>
              <w:right w:val="single" w:color="000000" w:sz="4"/>
            </w:tcBorders>
            <w:vAlign w:val="top"/>
          </w:tcPr>
          <w:p>
            <w:pPr>
              <w:jc w:val="center"/>
            </w:pPr>
            <w:r>
              <w:rPr>
                <w:sz w:val="21"/>
              </w:rPr>
              <w:t>验收人签名</w:t>
            </w:r>
          </w:p>
        </w:tc>
        <w:tc>
          <w:tcPr>
            <w:tcW w:type="dxa" w:w="6105"/>
            <w:gridSpan w:val="5"/>
            <w:tcBorders>
              <w:top w:val="none" w:color="000000" w:sz="4"/>
              <w:left w:val="single" w:color="000000" w:sz="4"/>
              <w:bottom w:val="single" w:color="000000" w:sz="4"/>
              <w:right w:val="single" w:color="000000" w:sz="4"/>
            </w:tcBorders>
            <w:vAlign w:val="top"/>
          </w:tcPr>
          <w:p>
            <w:pPr>
              <w:jc w:val="both"/>
            </w:pPr>
          </w:p>
        </w:tc>
      </w:tr>
      <w:tr>
        <w:tc>
          <w:tcPr>
            <w:tcW w:type="dxa" w:w="1935"/>
            <w:gridSpan w:val="2"/>
            <w:tcBorders>
              <w:top w:val="none" w:color="000000" w:sz="4"/>
              <w:left w:val="single" w:color="000000" w:sz="4"/>
              <w:bottom w:val="single" w:color="000000" w:sz="4"/>
              <w:right w:val="single" w:color="000000" w:sz="4"/>
            </w:tcBorders>
            <w:vAlign w:val="top"/>
          </w:tcPr>
          <w:p>
            <w:pPr>
              <w:jc w:val="center"/>
            </w:pPr>
            <w:r>
              <w:rPr>
                <w:sz w:val="21"/>
              </w:rPr>
              <w:t>供应商签名</w:t>
            </w:r>
          </w:p>
        </w:tc>
        <w:tc>
          <w:tcPr>
            <w:tcW w:type="dxa" w:w="6105"/>
            <w:gridSpan w:val="5"/>
            <w:tcBorders>
              <w:top w:val="none" w:color="000000" w:sz="4"/>
              <w:left w:val="single" w:color="000000" w:sz="4"/>
              <w:bottom w:val="single" w:color="000000" w:sz="4"/>
              <w:right w:val="single" w:color="000000" w:sz="4"/>
            </w:tcBorders>
            <w:vAlign w:val="top"/>
          </w:tcPr>
          <w:p>
            <w:pPr>
              <w:jc w:val="both"/>
            </w:pPr>
          </w:p>
        </w:tc>
      </w:tr>
    </w:tbl>
    <w:p>
      <w:pPr>
        <w:jc w:val="both"/>
      </w:pPr>
    </w:p>
    <w:p/>
    <w:p/>
    <w:p>
      <w:r>
        <w:rPr/>
        <w:t xml:space="preserve"> </w:t>
      </w:r>
    </w:p>
    <w:p>
      <w:pPr>
        <w:jc w:val="center"/>
      </w:pPr>
      <w:r>
        <w:rPr>
          <w:b/>
          <w:sz w:val="28"/>
        </w:rPr>
        <w:t>退货记录表</w:t>
      </w:r>
    </w:p>
    <w:p>
      <w:pPr>
        <w:ind w:firstLine="42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335"/>
        <w:gridCol w:w="1125"/>
        <w:gridCol w:w="840"/>
        <w:gridCol w:w="900"/>
        <w:gridCol w:w="630"/>
        <w:gridCol w:w="990"/>
        <w:gridCol w:w="645"/>
        <w:gridCol w:w="930"/>
      </w:tblGrid>
      <w:tr>
        <w:tc>
          <w:tcPr>
            <w:tcW w:type="dxa" w:w="1335"/>
            <w:tcBorders>
              <w:top w:val="single" w:color="000000" w:sz="4"/>
              <w:left w:val="single" w:color="000000" w:sz="4"/>
              <w:bottom w:val="single" w:color="000000" w:sz="4"/>
              <w:right w:val="single" w:color="000000" w:sz="4"/>
            </w:tcBorders>
            <w:vAlign w:val="top"/>
          </w:tcPr>
          <w:p>
            <w:pPr>
              <w:jc w:val="center"/>
            </w:pPr>
            <w:r>
              <w:rPr>
                <w:sz w:val="21"/>
              </w:rPr>
              <w:t>供应商名称</w:t>
            </w:r>
          </w:p>
        </w:tc>
        <w:tc>
          <w:tcPr>
            <w:tcW w:type="dxa" w:w="1125"/>
            <w:tcBorders>
              <w:top w:val="single" w:color="000000" w:sz="4"/>
              <w:left w:val="single" w:color="000000" w:sz="4"/>
              <w:bottom w:val="single" w:color="000000" w:sz="4"/>
              <w:right w:val="single" w:color="000000" w:sz="4"/>
            </w:tcBorders>
            <w:vAlign w:val="top"/>
          </w:tcPr>
          <w:p>
            <w:pPr>
              <w:jc w:val="center"/>
            </w:pPr>
          </w:p>
        </w:tc>
        <w:tc>
          <w:tcPr>
            <w:tcW w:type="dxa" w:w="840"/>
            <w:tcBorders>
              <w:top w:val="single" w:color="000000" w:sz="4"/>
              <w:left w:val="single" w:color="000000" w:sz="4"/>
              <w:bottom w:val="single" w:color="000000" w:sz="4"/>
              <w:right w:val="single" w:color="000000" w:sz="4"/>
            </w:tcBorders>
            <w:vAlign w:val="top"/>
          </w:tcPr>
          <w:p>
            <w:pPr>
              <w:jc w:val="center"/>
            </w:pPr>
            <w:r>
              <w:rPr>
                <w:sz w:val="21"/>
              </w:rPr>
              <w:t>产品</w:t>
            </w:r>
          </w:p>
          <w:p>
            <w:pPr>
              <w:jc w:val="center"/>
            </w:pPr>
            <w:r>
              <w:rPr>
                <w:sz w:val="21"/>
              </w:rPr>
              <w:t>名称</w:t>
            </w:r>
          </w:p>
        </w:tc>
        <w:tc>
          <w:tcPr>
            <w:tcW w:type="dxa" w:w="900"/>
            <w:tcBorders>
              <w:top w:val="single" w:color="000000" w:sz="4"/>
              <w:left w:val="single" w:color="000000" w:sz="4"/>
              <w:bottom w:val="single" w:color="000000" w:sz="4"/>
              <w:right w:val="single" w:color="000000" w:sz="4"/>
            </w:tcBorders>
            <w:vAlign w:val="top"/>
          </w:tcPr>
          <w:p>
            <w:pPr>
              <w:jc w:val="center"/>
            </w:pPr>
          </w:p>
        </w:tc>
        <w:tc>
          <w:tcPr>
            <w:tcW w:type="dxa" w:w="630"/>
            <w:tcBorders>
              <w:top w:val="single" w:color="000000" w:sz="4"/>
              <w:left w:val="single" w:color="000000" w:sz="4"/>
              <w:bottom w:val="single" w:color="000000" w:sz="4"/>
              <w:right w:val="single" w:color="000000" w:sz="4"/>
            </w:tcBorders>
            <w:vAlign w:val="top"/>
          </w:tcPr>
          <w:p>
            <w:pPr>
              <w:jc w:val="center"/>
            </w:pPr>
            <w:r>
              <w:rPr>
                <w:sz w:val="21"/>
              </w:rPr>
              <w:t>进货</w:t>
            </w:r>
          </w:p>
          <w:p>
            <w:pPr>
              <w:jc w:val="center"/>
            </w:pPr>
            <w:r>
              <w:rPr>
                <w:sz w:val="21"/>
              </w:rPr>
              <w:t>日期</w:t>
            </w:r>
          </w:p>
        </w:tc>
        <w:tc>
          <w:tcPr>
            <w:tcW w:type="dxa" w:w="990"/>
            <w:tcBorders>
              <w:top w:val="single" w:color="000000" w:sz="4"/>
              <w:left w:val="single" w:color="000000" w:sz="4"/>
              <w:bottom w:val="single" w:color="000000" w:sz="4"/>
              <w:right w:val="single" w:color="000000" w:sz="4"/>
            </w:tcBorders>
            <w:vAlign w:val="top"/>
          </w:tcPr>
          <w:p>
            <w:pPr>
              <w:jc w:val="center"/>
            </w:pPr>
          </w:p>
        </w:tc>
        <w:tc>
          <w:tcPr>
            <w:tcW w:type="dxa" w:w="645"/>
            <w:tcBorders>
              <w:top w:val="single" w:color="000000" w:sz="4"/>
              <w:left w:val="single" w:color="000000" w:sz="4"/>
              <w:bottom w:val="single" w:color="000000" w:sz="4"/>
              <w:right w:val="single" w:color="000000" w:sz="4"/>
            </w:tcBorders>
            <w:vAlign w:val="top"/>
          </w:tcPr>
          <w:p>
            <w:pPr>
              <w:jc w:val="center"/>
            </w:pPr>
            <w:r>
              <w:rPr>
                <w:sz w:val="21"/>
              </w:rPr>
              <w:t>进货</w:t>
            </w:r>
          </w:p>
          <w:p>
            <w:pPr>
              <w:jc w:val="center"/>
            </w:pPr>
            <w:r>
              <w:rPr>
                <w:sz w:val="21"/>
              </w:rPr>
              <w:t>数量</w:t>
            </w:r>
          </w:p>
        </w:tc>
        <w:tc>
          <w:tcPr>
            <w:tcW w:type="dxa" w:w="930"/>
            <w:tcBorders>
              <w:top w:val="single" w:color="000000" w:sz="4"/>
              <w:left w:val="single" w:color="000000" w:sz="4"/>
              <w:bottom w:val="single" w:color="000000" w:sz="4"/>
              <w:right w:val="single" w:color="000000" w:sz="4"/>
            </w:tcBorders>
            <w:vAlign w:val="top"/>
          </w:tcPr>
          <w:p>
            <w:pPr>
              <w:jc w:val="center"/>
            </w:pPr>
          </w:p>
        </w:tc>
      </w:tr>
      <w:tr>
        <w:tc>
          <w:tcPr>
            <w:tcW w:type="dxa" w:w="1335"/>
            <w:tcBorders>
              <w:top w:val="none" w:color="000000" w:sz="4"/>
              <w:left w:val="single" w:color="000000" w:sz="4"/>
              <w:bottom w:val="single" w:color="000000" w:sz="4"/>
              <w:right w:val="single" w:color="000000" w:sz="4"/>
            </w:tcBorders>
            <w:vAlign w:val="top"/>
          </w:tcPr>
          <w:p>
            <w:pPr>
              <w:jc w:val="center"/>
            </w:pPr>
            <w:r>
              <w:rPr>
                <w:sz w:val="21"/>
              </w:rPr>
              <w:t>生产商名称</w:t>
            </w:r>
          </w:p>
        </w:tc>
        <w:tc>
          <w:tcPr>
            <w:tcW w:type="dxa" w:w="1125"/>
            <w:tcBorders>
              <w:top w:val="none" w:color="000000" w:sz="4"/>
              <w:left w:val="single" w:color="000000" w:sz="4"/>
              <w:bottom w:val="single" w:color="000000" w:sz="4"/>
              <w:right w:val="single" w:color="000000" w:sz="4"/>
            </w:tcBorders>
            <w:vAlign w:val="top"/>
          </w:tcPr>
          <w:p>
            <w:pPr>
              <w:jc w:val="center"/>
            </w:pPr>
          </w:p>
        </w:tc>
        <w:tc>
          <w:tcPr>
            <w:tcW w:type="dxa" w:w="840"/>
            <w:tcBorders>
              <w:top w:val="none" w:color="000000" w:sz="4"/>
              <w:left w:val="single" w:color="000000" w:sz="4"/>
              <w:bottom w:val="single" w:color="000000" w:sz="4"/>
              <w:right w:val="single" w:color="000000" w:sz="4"/>
            </w:tcBorders>
            <w:vAlign w:val="top"/>
          </w:tcPr>
          <w:p>
            <w:pPr>
              <w:jc w:val="center"/>
            </w:pPr>
            <w:r>
              <w:rPr>
                <w:sz w:val="21"/>
              </w:rPr>
              <w:t>验收部门</w:t>
            </w:r>
          </w:p>
        </w:tc>
        <w:tc>
          <w:tcPr>
            <w:tcW w:type="dxa" w:w="900"/>
            <w:tcBorders>
              <w:top w:val="none" w:color="000000" w:sz="4"/>
              <w:left w:val="single" w:color="000000" w:sz="4"/>
              <w:bottom w:val="single" w:color="000000" w:sz="4"/>
              <w:right w:val="single" w:color="000000" w:sz="4"/>
            </w:tcBorders>
            <w:vAlign w:val="top"/>
          </w:tcPr>
          <w:p>
            <w:pPr>
              <w:jc w:val="center"/>
            </w:pPr>
          </w:p>
        </w:tc>
        <w:tc>
          <w:tcPr>
            <w:tcW w:type="dxa" w:w="630"/>
            <w:tcBorders>
              <w:top w:val="none" w:color="000000" w:sz="4"/>
              <w:left w:val="single" w:color="000000" w:sz="4"/>
              <w:bottom w:val="single" w:color="000000" w:sz="4"/>
              <w:right w:val="single" w:color="000000" w:sz="4"/>
            </w:tcBorders>
            <w:vAlign w:val="top"/>
          </w:tcPr>
          <w:p>
            <w:pPr>
              <w:jc w:val="center"/>
            </w:pPr>
            <w:r>
              <w:rPr>
                <w:sz w:val="21"/>
              </w:rPr>
              <w:t>验收时间</w:t>
            </w: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645"/>
            <w:tcBorders>
              <w:top w:val="none" w:color="000000" w:sz="4"/>
              <w:left w:val="single" w:color="000000" w:sz="4"/>
              <w:bottom w:val="single" w:color="000000" w:sz="4"/>
              <w:right w:val="single" w:color="000000" w:sz="4"/>
            </w:tcBorders>
            <w:vAlign w:val="top"/>
          </w:tcPr>
          <w:p>
            <w:pPr>
              <w:jc w:val="center"/>
            </w:pPr>
            <w:r>
              <w:rPr>
                <w:sz w:val="21"/>
              </w:rPr>
              <w:t>退货数量</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335"/>
            <w:tcBorders>
              <w:top w:val="none" w:color="000000" w:sz="4"/>
              <w:left w:val="single" w:color="000000" w:sz="4"/>
              <w:bottom w:val="single" w:color="000000" w:sz="4"/>
              <w:right w:val="single" w:color="000000" w:sz="4"/>
            </w:tcBorders>
            <w:vAlign w:val="top"/>
          </w:tcPr>
          <w:p>
            <w:pPr>
              <w:jc w:val="center"/>
            </w:pPr>
            <w:r>
              <w:rPr>
                <w:sz w:val="21"/>
              </w:rPr>
              <w:t>退货</w:t>
            </w:r>
          </w:p>
          <w:p>
            <w:pPr>
              <w:jc w:val="center"/>
            </w:pPr>
            <w:r>
              <w:rPr>
                <w:sz w:val="21"/>
              </w:rPr>
              <w:t>原因</w:t>
            </w:r>
          </w:p>
        </w:tc>
        <w:tc>
          <w:tcPr>
            <w:tcW w:type="dxa" w:w="6060"/>
            <w:gridSpan w:val="7"/>
            <w:tcBorders>
              <w:top w:val="none" w:color="000000" w:sz="4"/>
              <w:left w:val="single" w:color="000000" w:sz="4"/>
              <w:bottom w:val="single" w:color="000000" w:sz="4"/>
              <w:right w:val="single" w:color="000000" w:sz="4"/>
            </w:tcBorders>
            <w:vAlign w:val="top"/>
          </w:tcPr>
          <w:p>
            <w:pPr>
              <w:jc w:val="center"/>
            </w:pPr>
          </w:p>
          <w:p>
            <w:pPr>
              <w:jc w:val="center"/>
            </w:pPr>
          </w:p>
        </w:tc>
      </w:tr>
      <w:tr>
        <w:tc>
          <w:tcPr>
            <w:tcW w:type="dxa" w:w="1335"/>
            <w:tcBorders>
              <w:top w:val="none" w:color="000000" w:sz="4"/>
              <w:left w:val="single" w:color="000000" w:sz="4"/>
              <w:bottom w:val="single" w:color="000000" w:sz="4"/>
              <w:right w:val="single" w:color="000000" w:sz="4"/>
            </w:tcBorders>
            <w:vAlign w:val="top"/>
          </w:tcPr>
          <w:p>
            <w:pPr>
              <w:jc w:val="center"/>
            </w:pPr>
            <w:r>
              <w:rPr>
                <w:sz w:val="21"/>
              </w:rPr>
              <w:t>退货</w:t>
            </w:r>
          </w:p>
          <w:p>
            <w:pPr>
              <w:jc w:val="center"/>
            </w:pPr>
            <w:r>
              <w:rPr>
                <w:sz w:val="21"/>
              </w:rPr>
              <w:t>申请人</w:t>
            </w:r>
          </w:p>
        </w:tc>
        <w:tc>
          <w:tcPr>
            <w:tcW w:type="dxa" w:w="1965"/>
            <w:gridSpan w:val="2"/>
            <w:tcBorders>
              <w:top w:val="none" w:color="000000" w:sz="4"/>
              <w:left w:val="single" w:color="000000" w:sz="4"/>
              <w:bottom w:val="single" w:color="000000" w:sz="4"/>
              <w:right w:val="single" w:color="000000" w:sz="4"/>
            </w:tcBorders>
            <w:vAlign w:val="top"/>
          </w:tcPr>
          <w:p>
            <w:pPr>
              <w:jc w:val="center"/>
            </w:pPr>
          </w:p>
          <w:p>
            <w:pPr>
              <w:jc w:val="center"/>
            </w:pPr>
          </w:p>
        </w:tc>
        <w:tc>
          <w:tcPr>
            <w:tcW w:type="dxa" w:w="1530"/>
            <w:gridSpan w:val="2"/>
            <w:vMerge w:val="restart"/>
            <w:tcBorders>
              <w:top w:val="single" w:color="000000" w:sz="4"/>
              <w:left w:val="single" w:color="000000" w:sz="4"/>
              <w:bottom w:val="single" w:color="000000" w:sz="4"/>
              <w:right w:val="single" w:color="000000" w:sz="4"/>
            </w:tcBorders>
            <w:vAlign w:val="top"/>
          </w:tcPr>
          <w:p>
            <w:pPr>
              <w:jc w:val="center"/>
            </w:pPr>
            <w:r>
              <w:rPr>
                <w:sz w:val="21"/>
              </w:rPr>
              <w:t>后勤部门</w:t>
            </w:r>
          </w:p>
          <w:p>
            <w:pPr>
              <w:jc w:val="center"/>
            </w:pPr>
            <w:r>
              <w:rPr>
                <w:sz w:val="21"/>
              </w:rPr>
              <w:t>意见</w:t>
            </w:r>
          </w:p>
        </w:tc>
        <w:tc>
          <w:tcPr>
            <w:tcW w:type="dxa" w:w="2565"/>
            <w:gridSpan w:val="3"/>
            <w:vMerge w:val="restart"/>
            <w:tcBorders>
              <w:top w:val="single" w:color="000000" w:sz="4"/>
              <w:left w:val="single" w:color="000000" w:sz="4"/>
              <w:bottom w:val="single" w:color="000000" w:sz="4"/>
              <w:right w:val="single" w:color="000000" w:sz="4"/>
            </w:tcBorders>
            <w:vAlign w:val="bottom"/>
          </w:tcPr>
          <w:p>
            <w:pPr>
              <w:jc w:val="right"/>
            </w:pPr>
          </w:p>
          <w:p>
            <w:pPr>
              <w:jc w:val="right"/>
            </w:pPr>
          </w:p>
          <w:p>
            <w:pPr>
              <w:jc w:val="right"/>
            </w:pPr>
            <w:r>
              <w:rPr>
                <w:sz w:val="21"/>
              </w:rPr>
              <w:t>签名：</w:t>
            </w:r>
            <w:r>
              <w:rPr>
                <w:sz w:val="21"/>
              </w:rPr>
              <w:t xml:space="preserve">      </w:t>
            </w:r>
          </w:p>
          <w:p>
            <w:pPr>
              <w:jc w:val="right"/>
            </w:pPr>
            <w:r>
              <w:rPr>
                <w:sz w:val="21"/>
              </w:rPr>
              <w:t>年</w:t>
            </w:r>
            <w:r>
              <w:rPr>
                <w:sz w:val="21"/>
              </w:rPr>
              <w:t xml:space="preserve"> </w:t>
            </w:r>
            <w:r>
              <w:rPr>
                <w:sz w:val="21"/>
              </w:rPr>
              <w:t>月</w:t>
            </w:r>
            <w:r>
              <w:rPr>
                <w:sz w:val="21"/>
              </w:rPr>
              <w:t xml:space="preserve"> </w:t>
            </w:r>
            <w:r>
              <w:rPr>
                <w:sz w:val="21"/>
              </w:rPr>
              <w:t>日</w:t>
            </w:r>
          </w:p>
        </w:tc>
      </w:tr>
      <w:tr>
        <w:tc>
          <w:tcPr>
            <w:tcW w:type="dxa" w:w="1335"/>
            <w:tcBorders>
              <w:top w:val="none" w:color="000000" w:sz="4"/>
              <w:left w:val="single" w:color="000000" w:sz="4"/>
              <w:bottom w:val="single" w:color="000000" w:sz="4"/>
              <w:right w:val="single" w:color="000000" w:sz="4"/>
            </w:tcBorders>
            <w:vAlign w:val="top"/>
          </w:tcPr>
          <w:p>
            <w:pPr>
              <w:jc w:val="center"/>
            </w:pPr>
            <w:r>
              <w:rPr>
                <w:sz w:val="21"/>
              </w:rPr>
              <w:t>供应商签名</w:t>
            </w:r>
          </w:p>
        </w:tc>
        <w:tc>
          <w:tcPr>
            <w:tcW w:type="dxa" w:w="1965"/>
            <w:gridSpan w:val="2"/>
            <w:tcBorders>
              <w:top w:val="none" w:color="000000" w:sz="4"/>
              <w:left w:val="single" w:color="000000" w:sz="4"/>
              <w:bottom w:val="single" w:color="000000" w:sz="4"/>
              <w:right w:val="single" w:color="000000" w:sz="4"/>
            </w:tcBorders>
            <w:vAlign w:val="top"/>
          </w:tcPr>
          <w:p>
            <w:pPr>
              <w:jc w:val="center"/>
            </w:pPr>
          </w:p>
          <w:p>
            <w:pPr>
              <w:jc w:val="center"/>
            </w:pPr>
          </w:p>
        </w:tc>
      </w:tr>
      <w:tr>
        <w:tc>
          <w:tcPr>
            <w:tcW w:type="dxa" w:w="3300"/>
            <w:gridSpan w:val="3"/>
            <w:tcBorders>
              <w:top w:val="none" w:color="000000" w:sz="4"/>
              <w:left w:val="single" w:color="000000" w:sz="4"/>
              <w:bottom w:val="single" w:color="000000" w:sz="4"/>
              <w:right w:val="single" w:color="000000" w:sz="4"/>
            </w:tcBorders>
            <w:vAlign w:val="top"/>
          </w:tcPr>
          <w:p>
            <w:pPr>
              <w:jc w:val="center"/>
            </w:pPr>
            <w:r>
              <w:rPr>
                <w:sz w:val="21"/>
              </w:rPr>
              <w:t>采购人单位领导意见</w:t>
            </w:r>
          </w:p>
        </w:tc>
        <w:tc>
          <w:tcPr>
            <w:tcW w:type="dxa" w:w="4095"/>
            <w:gridSpan w:val="5"/>
            <w:tcBorders>
              <w:top w:val="none" w:color="000000" w:sz="4"/>
              <w:left w:val="single" w:color="000000" w:sz="4"/>
              <w:bottom w:val="single" w:color="000000" w:sz="4"/>
              <w:right w:val="single" w:color="000000" w:sz="4"/>
            </w:tcBorders>
            <w:vAlign w:val="top"/>
          </w:tcPr>
          <w:p>
            <w:pPr>
              <w:jc w:val="both"/>
            </w:pPr>
          </w:p>
          <w:p>
            <w:pPr>
              <w:jc w:val="right"/>
            </w:pPr>
            <w:r>
              <w:rPr>
                <w:sz w:val="21"/>
              </w:rPr>
              <w:t>签名：</w:t>
            </w:r>
            <w:r>
              <w:rPr>
                <w:sz w:val="21"/>
              </w:rPr>
              <w:t xml:space="preserve">      </w:t>
            </w:r>
          </w:p>
          <w:p>
            <w:pPr>
              <w:jc w:val="right"/>
            </w:pPr>
            <w:r>
              <w:rPr>
                <w:sz w:val="21"/>
              </w:rPr>
              <w:t>年</w:t>
            </w:r>
            <w:r>
              <w:rPr>
                <w:sz w:val="21"/>
              </w:rPr>
              <w:t xml:space="preserve"> </w:t>
            </w:r>
            <w:r>
              <w:rPr>
                <w:sz w:val="21"/>
              </w:rPr>
              <w:t>月</w:t>
            </w:r>
            <w:r>
              <w:rPr>
                <w:sz w:val="21"/>
              </w:rPr>
              <w:t xml:space="preserve"> </w:t>
            </w:r>
            <w:r>
              <w:rPr>
                <w:sz w:val="21"/>
              </w:rPr>
              <w:t>日</w:t>
            </w:r>
          </w:p>
        </w:tc>
      </w:tr>
    </w:tbl>
    <w:p>
      <w:pPr>
        <w:ind w:firstLine="420"/>
        <w:jc w:val="right"/>
      </w:pPr>
      <w:r>
        <w:rPr>
          <w:sz w:val="21"/>
        </w:rPr>
        <w:t>采购人留存联</w:t>
      </w:r>
    </w:p>
    <w:p>
      <w:pPr>
        <w:jc w:val="both"/>
      </w:pPr>
    </w:p>
    <w:p/>
    <w:p/>
    <w:p>
      <w:r>
        <w:rPr/>
        <w:t xml:space="preserve"> </w:t>
      </w:r>
    </w:p>
    <w:p>
      <w:pPr>
        <w:jc w:val="center"/>
      </w:pPr>
      <w:r>
        <w:rPr>
          <w:b/>
          <w:sz w:val="28"/>
        </w:rPr>
        <w:t>民警餐厅食材供应情况记录</w:t>
      </w:r>
    </w:p>
    <w:p>
      <w:pPr>
        <w:jc w:val="center"/>
      </w:pPr>
    </w:p>
    <w:p>
      <w:pPr>
        <w:ind w:firstLine="420"/>
        <w:jc w:val="both"/>
      </w:pPr>
      <w:r>
        <w:rPr>
          <w:sz w:val="21"/>
        </w:rPr>
        <w:t>单位：</w:t>
      </w:r>
      <w:r>
        <w:rPr>
          <w:sz w:val="21"/>
        </w:rPr>
        <w:t xml:space="preserve">                          </w:t>
      </w:r>
      <w:r>
        <w:rPr>
          <w:sz w:val="21"/>
        </w:rPr>
        <w:t>填报日期：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635"/>
        <w:gridCol w:w="1200"/>
        <w:gridCol w:w="2550"/>
        <w:gridCol w:w="2775"/>
      </w:tblGrid>
      <w:tr>
        <w:tc>
          <w:tcPr>
            <w:tcW w:type="dxa" w:w="1635"/>
            <w:tcBorders>
              <w:top w:val="single" w:color="000000" w:sz="4"/>
              <w:left w:val="single" w:color="000000" w:sz="4"/>
              <w:bottom w:val="single" w:color="000000" w:sz="4"/>
              <w:right w:val="single" w:color="000000" w:sz="4"/>
            </w:tcBorders>
            <w:vAlign w:val="top"/>
          </w:tcPr>
          <w:p>
            <w:pPr>
              <w:jc w:val="center"/>
            </w:pPr>
            <w:r>
              <w:rPr>
                <w:b/>
                <w:sz w:val="21"/>
              </w:rPr>
              <w:t>项</w:t>
            </w:r>
            <w:r>
              <w:rPr>
                <w:b/>
                <w:sz w:val="21"/>
              </w:rPr>
              <w:t xml:space="preserve"> </w:t>
            </w:r>
            <w:r>
              <w:rPr>
                <w:b/>
                <w:sz w:val="21"/>
              </w:rPr>
              <w:t>目</w:t>
            </w:r>
          </w:p>
        </w:tc>
        <w:tc>
          <w:tcPr>
            <w:tcW w:type="dxa" w:w="1200"/>
            <w:tcBorders>
              <w:top w:val="single" w:color="000000" w:sz="4"/>
              <w:left w:val="single" w:color="000000" w:sz="4"/>
              <w:bottom w:val="single" w:color="000000" w:sz="4"/>
              <w:right w:val="single" w:color="000000" w:sz="4"/>
            </w:tcBorders>
            <w:vAlign w:val="top"/>
          </w:tcPr>
          <w:p>
            <w:pPr>
              <w:jc w:val="center"/>
            </w:pPr>
            <w:r>
              <w:rPr>
                <w:b/>
                <w:sz w:val="21"/>
              </w:rPr>
              <w:t>供应商</w:t>
            </w:r>
          </w:p>
        </w:tc>
        <w:tc>
          <w:tcPr>
            <w:tcW w:type="dxa" w:w="2550"/>
            <w:tcBorders>
              <w:top w:val="single" w:color="000000" w:sz="4"/>
              <w:left w:val="single" w:color="000000" w:sz="4"/>
              <w:bottom w:val="single" w:color="000000" w:sz="4"/>
              <w:right w:val="single" w:color="000000" w:sz="4"/>
            </w:tcBorders>
            <w:vAlign w:val="top"/>
          </w:tcPr>
          <w:p>
            <w:pPr>
              <w:jc w:val="center"/>
            </w:pPr>
            <w:r>
              <w:rPr>
                <w:b/>
                <w:sz w:val="21"/>
              </w:rPr>
              <w:t>供应情况</w:t>
            </w:r>
          </w:p>
        </w:tc>
        <w:tc>
          <w:tcPr>
            <w:tcW w:type="dxa" w:w="2775"/>
            <w:tcBorders>
              <w:top w:val="single" w:color="000000" w:sz="4"/>
              <w:left w:val="single" w:color="000000" w:sz="4"/>
              <w:bottom w:val="single" w:color="000000" w:sz="4"/>
              <w:right w:val="single" w:color="000000" w:sz="4"/>
            </w:tcBorders>
            <w:vAlign w:val="top"/>
          </w:tcPr>
          <w:p>
            <w:pPr>
              <w:jc w:val="center"/>
            </w:pPr>
            <w:r>
              <w:rPr>
                <w:b/>
                <w:sz w:val="21"/>
              </w:rPr>
              <w:t>意见和建议</w:t>
            </w: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猪肉类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牛肉类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家禽类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冰鲜类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鱼类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蔬菜类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水果类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熟食</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大米</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油类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蛋类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面、粉、</w:t>
            </w:r>
            <w:r>
              <w:rPr>
                <w:sz w:val="21"/>
              </w:rPr>
              <w:t>豆</w:t>
            </w:r>
            <w:r>
              <w:rPr>
                <w:sz w:val="21"/>
              </w:rPr>
              <w:t>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干货、调</w:t>
            </w:r>
            <w:r>
              <w:rPr>
                <w:sz w:val="21"/>
              </w:rPr>
              <w:t>味</w:t>
            </w:r>
            <w:r>
              <w:rPr>
                <w:sz w:val="21"/>
              </w:rPr>
              <w:t>类</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奶制品</w:t>
            </w:r>
          </w:p>
        </w:tc>
        <w:tc>
          <w:tcPr>
            <w:tcW w:type="dxa" w:w="1200"/>
            <w:tcBorders>
              <w:top w:val="none" w:color="000000" w:sz="4"/>
              <w:left w:val="single" w:color="000000" w:sz="4"/>
              <w:bottom w:val="single" w:color="000000" w:sz="4"/>
              <w:right w:val="single" w:color="000000" w:sz="4"/>
            </w:tcBorders>
            <w:vAlign w:val="top"/>
          </w:tcPr>
          <w:p>
            <w:pPr>
              <w:jc w:val="both"/>
            </w:pPr>
          </w:p>
        </w:tc>
        <w:tc>
          <w:tcPr>
            <w:tcW w:type="dxa" w:w="2550"/>
            <w:tcBorders>
              <w:top w:val="none" w:color="000000" w:sz="4"/>
              <w:left w:val="single" w:color="000000" w:sz="4"/>
              <w:bottom w:val="single" w:color="000000" w:sz="4"/>
              <w:right w:val="single" w:color="000000" w:sz="4"/>
            </w:tcBorders>
            <w:vAlign w:val="top"/>
          </w:tcPr>
          <w:p>
            <w:pPr>
              <w:jc w:val="both"/>
            </w:pPr>
          </w:p>
        </w:tc>
        <w:tc>
          <w:tcPr>
            <w:tcW w:type="dxa" w:w="2775"/>
            <w:tcBorders>
              <w:top w:val="none" w:color="000000" w:sz="4"/>
              <w:left w:val="single" w:color="000000" w:sz="4"/>
              <w:bottom w:val="single" w:color="000000" w:sz="4"/>
              <w:right w:val="single" w:color="000000" w:sz="4"/>
            </w:tcBorders>
            <w:vAlign w:val="top"/>
          </w:tcPr>
          <w:p>
            <w:pPr>
              <w:jc w:val="both"/>
            </w:pPr>
          </w:p>
        </w:tc>
      </w:tr>
    </w:tbl>
    <w:p>
      <w:pPr>
        <w:jc w:val="both"/>
      </w:pPr>
      <w:r>
        <w:rPr>
          <w:sz w:val="21"/>
        </w:rPr>
        <w:t>后勤部门：</w:t>
      </w:r>
      <w:r>
        <w:rPr>
          <w:sz w:val="21"/>
        </w:rPr>
        <w:t xml:space="preserve">       </w:t>
      </w:r>
      <w:r>
        <w:rPr>
          <w:sz w:val="21"/>
        </w:rPr>
        <w:t>采购人单位领导：</w:t>
      </w:r>
      <w:r>
        <w:rPr>
          <w:sz w:val="21"/>
        </w:rPr>
        <w:t xml:space="preserve">     </w:t>
      </w:r>
      <w:r>
        <w:rPr>
          <w:sz w:val="21"/>
        </w:rPr>
        <w:t>填报人：</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440001-2024-00318</w:t>
      </w:r>
    </w:p>
    <w:p>
      <w:pPr>
        <w:jc w:val="center"/>
      </w:pPr>
      <w:r>
        <w:rPr>
          <w:b/>
          <w:sz w:val="24"/>
        </w:rPr>
        <w:t>采购项目编号：</w:t>
      </w:r>
      <w:r>
        <w:rPr>
          <w:b/>
          <w:sz w:val="24"/>
        </w:rPr>
        <w:t>BDGZ2023085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广东必鼎工程项目管理有限公司</w:t>
      </w:r>
    </w:p>
    <w:p>
      <w:pPr>
        <w:ind w:firstLine="480"/>
      </w:pPr>
      <w:r>
        <w:rPr/>
        <w:t>你方组织的</w:t>
      </w:r>
      <w:r>
        <w:rPr>
          <w:u w:val="single"/>
        </w:rPr>
        <w:t>“</w:t>
      </w:r>
      <w:r>
        <w:rPr>
          <w:u w:val="single"/>
        </w:rPr>
        <w:t>2024年-2026年民警餐厅食材配送项目</w:t>
      </w:r>
      <w:r>
        <w:rPr>
          <w:u w:val="single"/>
        </w:rPr>
        <w:t>”</w:t>
      </w:r>
      <w:r>
        <w:rPr/>
        <w:t>项目的招标[采购项目编号为：</w:t>
      </w:r>
      <w:r>
        <w:rPr>
          <w:u w:val="single"/>
        </w:rPr>
        <w:t>BDGZ2023085</w:t>
      </w:r>
      <w:r>
        <w:rPr/>
        <w:t>]，我方愿参与投标。</w:t>
      </w:r>
    </w:p>
    <w:p>
      <w:pPr>
        <w:ind w:firstLine="480"/>
      </w:pPr>
      <w:r>
        <w:rPr/>
        <w:t>我方确认收到贵方提供的</w:t>
      </w:r>
      <w:r>
        <w:rPr>
          <w:u w:val="single"/>
        </w:rPr>
        <w:t>“</w:t>
      </w:r>
      <w:r>
        <w:rPr>
          <w:u w:val="single"/>
        </w:rPr>
        <w:t>2024年-2026年民警餐厅食材配送项目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广东必鼎工程项目管理有限公司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2024年-2026年民警餐厅食材配送项目</w:t>
      </w:r>
      <w:r>
        <w:rPr/>
        <w:t>”项目采购[采购项目编号为</w:t>
      </w:r>
      <w:r>
        <w:rPr/>
        <w:t>BDGZ2023085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广东省三水强制隔离戒毒所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广东必鼎工程项目管理有限公司</w:t>
      </w:r>
    </w:p>
    <w:p>
      <w:pPr>
        <w:ind w:firstLine="480"/>
      </w:pPr>
      <w:r>
        <w:rPr/>
        <w:t>如果我方在贵采购代理机构组织的</w:t>
      </w:r>
      <w:r>
        <w:rPr/>
        <w:t>2024年-2026年民警餐厅食材配送项目</w:t>
      </w:r>
      <w:r>
        <w:rPr/>
        <w:t>招标中获中标（采购项目编号：</w:t>
      </w:r>
      <w:r>
        <w:rPr/>
        <w:t>BDGZ2023085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广东必鼎工程项目管理有限公司</w:t>
      </w:r>
    </w:p>
    <w:p>
      <w:pPr>
        <w:ind w:firstLine="480"/>
      </w:pPr>
      <w:r>
        <w:rPr/>
        <w:t>我单位已登记并准备参与“</w:t>
      </w:r>
      <w:r>
        <w:rPr/>
        <w:t>2024年-2026年民警餐厅食材配送项目</w:t>
      </w:r>
      <w:r>
        <w:rPr/>
        <w:t>”项目（采购项目编号：</w:t>
      </w:r>
      <w:r>
        <w:rPr/>
        <w:t>BDGZ2023085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